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600"/>
      </w:pPr>
      <w:r>
        <w:rPr>
          <w:rFonts w:ascii="Arial" w:cs="Arial" w:eastAsia="Arial" w:hAnsi="Arial"/>
          <w:b/>
          <w:bCs/>
          <w:color w:val="1A3A5C"/>
          <w:sz w:val="56"/>
          <w:szCs w:val="56"/>
        </w:rPr>
        <w:t xml:space="preserve">GDPR Gap Analysis Report</w:t>
      </w:r>
    </w:p>
    <w:p>
      <w:pPr>
        <w:spacing w:after="60"/>
      </w:pPr>
      <w:r>
        <w:rPr>
          <w:rFonts w:ascii="Arial" w:cs="Arial" w:eastAsia="Arial" w:hAnsi="Arial"/>
          <w:color w:val="5D6D7E"/>
          <w:sz w:val="24"/>
          <w:szCs w:val="24"/>
        </w:rPr>
        <w:t xml:space="preserve">Acme Corp  ·  Audit date: 25 May 2025</w:t>
      </w:r>
    </w:p>
    <w:p>
      <w:pPr>
        <w:spacing w:after="60"/>
      </w:pPr>
      <w:r>
        <w:rPr>
          <w:rFonts w:ascii="Arial" w:cs="Arial" w:eastAsia="Arial" w:hAnsi="Arial"/>
          <w:color w:val="5D6D7E"/>
          <w:sz w:val="20"/>
          <w:szCs w:val="20"/>
        </w:rPr>
        <w:t xml:space="preserve">Tech stack: Next.js, PostgreSQL, Node.js</w:t>
      </w:r>
    </w:p>
    <w:p>
      <w:pPr>
        <w:spacing w:after="60"/>
      </w:pPr>
      <w:r>
        <w:rPr>
          <w:rFonts w:ascii="Arial" w:cs="Arial" w:eastAsia="Arial" w:hAnsi="Arial"/>
          <w:color w:val="5D6D7E"/>
          <w:sz w:val="20"/>
          <w:szCs w:val="20"/>
        </w:rPr>
        <w:t xml:space="preserve">Lead supervisory authority: ICO (United Kingdom)</w:t>
      </w:r>
    </w:p>
    <w:p>
      <w:pPr>
        <w:spacing w:after="200"/>
      </w:pPr>
      <w:r>
        <w:rPr>
          <w:rFonts w:ascii="Arial" w:cs="Arial" w:eastAsia="Arial" w:hAnsi="Arial"/>
          <w:color w:val="5D6D7E"/>
          <w:sz w:val="20"/>
          <w:szCs w:val="20"/>
        </w:rPr>
        <w:t xml:space="preserve">Processors detected: Stripe, Mailchimp, Segment, Google Analytics, Meta Pixel, Sentry, Intercom</w:t>
      </w:r>
    </w:p>
    <w:p>
      <w:pPr>
        <w:spacing w:after="80"/>
      </w:pPr>
      <w:r>
        <w:rPr>
          <w:rFonts w:ascii="Arial" w:cs="Arial" w:eastAsia="Arial" w:hAnsi="Arial"/>
          <w:b/>
          <w:bCs/>
          <w:color w:val="C0392B"/>
          <w:sz w:val="22"/>
          <w:szCs w:val="22"/>
        </w:rPr>
        <w:t xml:space="preserve">⚠  Special category data detected</w:t>
      </w:r>
    </w:p>
    <w:p>
      <w:pPr>
        <w:spacing w:after="200"/>
      </w:pPr>
      <w:r>
        <w:rPr>
          <w:rFonts w:ascii="Arial" w:cs="Arial" w:eastAsia="Arial" w:hAnsi="Arial"/>
          <w:color w:val="C0392B"/>
          <w:sz w:val="20"/>
          <w:szCs w:val="20"/>
        </w:rPr>
        <w:t xml:space="preserve">health_status field found in the users table. Special category data (Art. 9) carries the highest regulatory risk — fines up to €20M or 4% of global turnover. A DPIA is mandatory before processing continues. See Domain 4 and Domain 12.</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AAAAAA" w:sz="1"/>
              <w:left w:val="single" w:color="AAAAAA" w:sz="1"/>
              <w:bottom w:val="single" w:color="AAAAAA" w:sz="1"/>
              <w:right w:val="single" w:color="AAAAAA" w:sz="1"/>
            </w:tcBorders>
            <w:shd w:fill="C0392B" w:val="clear"/>
            <w:tcMar>
              <w:top w:type="dxa" w:w="80"/>
              <w:left w:type="dxa" w:w="120"/>
              <w:bottom w:type="dxa" w:w="80"/>
              <w:right w:type="dxa" w:w="120"/>
            </w:tcMar>
            <w:vAlign w:val="center"/>
          </w:tcPr>
          <w:p>
            <w:pPr>
              <w:jc w:val="center"/>
            </w:pPr>
            <w:r>
              <w:rPr>
                <w:rFonts w:ascii="Arial" w:cs="Arial" w:eastAsia="Arial" w:hAnsi="Arial"/>
                <w:b/>
                <w:bCs/>
                <w:i w:val="false"/>
                <w:iCs w:val="false"/>
                <w:color w:val="FFFFFF"/>
                <w:sz w:val="18"/>
                <w:szCs w:val="18"/>
              </w:rPr>
              <w:t xml:space="preserve">Critical gaps</w:t>
            </w:r>
          </w:p>
        </w:tc>
        <w:tc>
          <w:tcPr>
            <w:tcW w:type="dxa" w:w="2340"/>
            <w:tcBorders>
              <w:top w:val="single" w:color="AAAAAA" w:sz="1"/>
              <w:left w:val="single" w:color="AAAAAA" w:sz="1"/>
              <w:bottom w:val="single" w:color="AAAAAA" w:sz="1"/>
              <w:right w:val="single" w:color="AAAAAA" w:sz="1"/>
            </w:tcBorders>
            <w:shd w:fill="E67E22" w:val="clear"/>
            <w:tcMar>
              <w:top w:type="dxa" w:w="80"/>
              <w:left w:type="dxa" w:w="120"/>
              <w:bottom w:type="dxa" w:w="80"/>
              <w:right w:type="dxa" w:w="120"/>
            </w:tcMar>
            <w:vAlign w:val="center"/>
          </w:tcPr>
          <w:p>
            <w:pPr>
              <w:jc w:val="center"/>
            </w:pPr>
            <w:r>
              <w:rPr>
                <w:rFonts w:ascii="Arial" w:cs="Arial" w:eastAsia="Arial" w:hAnsi="Arial"/>
                <w:b/>
                <w:bCs/>
                <w:i w:val="false"/>
                <w:iCs w:val="false"/>
                <w:color w:val="FFFFFF"/>
                <w:sz w:val="18"/>
                <w:szCs w:val="18"/>
              </w:rPr>
              <w:t xml:space="preserve">High gaps</w:t>
            </w:r>
          </w:p>
        </w:tc>
        <w:tc>
          <w:tcPr>
            <w:tcW w:type="dxa" w:w="2340"/>
            <w:tcBorders>
              <w:top w:val="single" w:color="AAAAAA" w:sz="1"/>
              <w:left w:val="single" w:color="AAAAAA" w:sz="1"/>
              <w:bottom w:val="single" w:color="AAAAAA" w:sz="1"/>
              <w:right w:val="single" w:color="AAAAAA" w:sz="1"/>
            </w:tcBorders>
            <w:shd w:fill="5D6D7E" w:val="clear"/>
            <w:tcMar>
              <w:top w:type="dxa" w:w="80"/>
              <w:left w:type="dxa" w:w="120"/>
              <w:bottom w:type="dxa" w:w="80"/>
              <w:right w:type="dxa" w:w="120"/>
            </w:tcMar>
            <w:vAlign w:val="center"/>
          </w:tcPr>
          <w:p>
            <w:pPr>
              <w:jc w:val="center"/>
            </w:pPr>
            <w:r>
              <w:rPr>
                <w:rFonts w:ascii="Arial" w:cs="Arial" w:eastAsia="Arial" w:hAnsi="Arial"/>
                <w:b/>
                <w:bCs/>
                <w:i w:val="false"/>
                <w:iCs w:val="false"/>
                <w:color w:val="FFFFFF"/>
                <w:sz w:val="18"/>
                <w:szCs w:val="18"/>
              </w:rPr>
              <w:t xml:space="preserve">Medium gaps</w:t>
            </w:r>
          </w:p>
        </w:tc>
        <w:tc>
          <w:tcPr>
            <w:tcW w:type="dxa" w:w="2340"/>
            <w:tcBorders>
              <w:top w:val="single" w:color="AAAAAA" w:sz="1"/>
              <w:left w:val="single" w:color="AAAAAA" w:sz="1"/>
              <w:bottom w:val="single" w:color="AAAAAA" w:sz="1"/>
              <w:right w:val="single" w:color="AAAAAA" w:sz="1"/>
            </w:tcBorders>
            <w:shd w:fill="1A5276" w:val="clear"/>
            <w:tcMar>
              <w:top w:type="dxa" w:w="80"/>
              <w:left w:type="dxa" w:w="120"/>
              <w:bottom w:type="dxa" w:w="80"/>
              <w:right w:type="dxa" w:w="120"/>
            </w:tcMar>
            <w:vAlign w:val="center"/>
          </w:tcPr>
          <w:p>
            <w:pPr>
              <w:jc w:val="center"/>
            </w:pPr>
            <w:r>
              <w:rPr>
                <w:rFonts w:ascii="Arial" w:cs="Arial" w:eastAsia="Arial" w:hAnsi="Arial"/>
                <w:b/>
                <w:bCs/>
                <w:i w:val="false"/>
                <w:iCs w:val="false"/>
                <w:color w:val="FFFFFF"/>
                <w:sz w:val="18"/>
                <w:szCs w:val="18"/>
              </w:rPr>
              <w:t xml:space="preserve">Posture</w:t>
            </w:r>
          </w:p>
        </w:tc>
      </w:tr>
      <w:tr>
        <w:tc>
          <w:tcPr>
            <w:tcW w:type="dxa" w:w="234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center"/>
            </w:pPr>
            <w:r>
              <w:rPr>
                <w:rFonts w:ascii="Arial" w:cs="Arial" w:eastAsia="Arial" w:hAnsi="Arial"/>
                <w:b/>
                <w:bCs/>
                <w:i w:val="false"/>
                <w:iCs w:val="false"/>
                <w:color w:val="C0392B"/>
                <w:sz w:val="28"/>
                <w:szCs w:val="28"/>
              </w:rPr>
              <w:t xml:space="preserve">5</w:t>
            </w:r>
          </w:p>
        </w:tc>
        <w:tc>
          <w:tcPr>
            <w:tcW w:type="dxa" w:w="234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center"/>
            </w:pPr>
            <w:r>
              <w:rPr>
                <w:rFonts w:ascii="Arial" w:cs="Arial" w:eastAsia="Arial" w:hAnsi="Arial"/>
                <w:b/>
                <w:bCs/>
                <w:i w:val="false"/>
                <w:iCs w:val="false"/>
                <w:color w:val="E67E22"/>
                <w:sz w:val="28"/>
                <w:szCs w:val="28"/>
              </w:rPr>
              <w:t xml:space="preserve">4</w:t>
            </w:r>
          </w:p>
        </w:tc>
        <w:tc>
          <w:tcPr>
            <w:tcW w:type="dxa" w:w="234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vAlign w:val="center"/>
          </w:tcPr>
          <w:p>
            <w:pPr>
              <w:jc w:val="center"/>
            </w:pPr>
            <w:r>
              <w:rPr>
                <w:rFonts w:ascii="Arial" w:cs="Arial" w:eastAsia="Arial" w:hAnsi="Arial"/>
                <w:b/>
                <w:bCs/>
                <w:i w:val="false"/>
                <w:iCs w:val="false"/>
                <w:color w:val="5D6D7E"/>
                <w:sz w:val="28"/>
                <w:szCs w:val="28"/>
              </w:rPr>
              <w:t xml:space="preserve">3</w:t>
            </w:r>
          </w:p>
        </w:tc>
        <w:tc>
          <w:tcPr>
            <w:tcW w:type="dxa" w:w="2340"/>
            <w:tcBorders>
              <w:top w:val="single" w:color="AAAAAA" w:sz="1"/>
              <w:left w:val="single" w:color="AAAAAA" w:sz="1"/>
              <w:bottom w:val="single" w:color="AAAAAA" w:sz="1"/>
              <w:right w:val="single" w:color="AAAAAA" w:sz="1"/>
            </w:tcBorders>
            <w:shd w:fill="D6EAF8" w:val="clear"/>
            <w:tcMar>
              <w:top w:type="dxa" w:w="80"/>
              <w:left w:type="dxa" w:w="120"/>
              <w:bottom w:type="dxa" w:w="80"/>
              <w:right w:type="dxa" w:w="120"/>
            </w:tcMar>
            <w:vAlign w:val="center"/>
          </w:tcPr>
          <w:p>
            <w:pPr>
              <w:jc w:val="center"/>
            </w:pPr>
            <w:r>
              <w:rPr>
                <w:rFonts w:ascii="Arial" w:cs="Arial" w:eastAsia="Arial" w:hAnsi="Arial"/>
                <w:b/>
                <w:bCs/>
                <w:i w:val="false"/>
                <w:iCs w:val="false"/>
                <w:color w:val="1A5276"/>
                <w:sz w:val="24"/>
                <w:szCs w:val="24"/>
              </w:rPr>
              <w:t xml:space="preserve">Partial</w:t>
            </w:r>
          </w:p>
        </w:tc>
      </w:tr>
    </w:tbl>
    <w:p>
      <w:pPr>
        <w:pageBreakBefore/>
      </w:pPr>
      <w:r>
        <w:t xml:space="preserve"/>
      </w:r>
    </w:p>
    <w:p>
      <w:pPr>
        <w:pStyle w:val="Heading1"/>
      </w:pPr>
      <w:r>
        <w:rPr>
          <w:rFonts w:ascii="Arial" w:cs="Arial" w:eastAsia="Arial" w:hAnsi="Arial"/>
        </w:rPr>
        <w:t xml:space="preserve">1. Compliance dashboard</w:t>
      </w:r>
    </w:p>
    <w:p>
      <w:pPr>
        <w:spacing w:after="100"/>
      </w:pPr>
      <w:r>
        <w:rPr>
          <w:rFonts w:ascii="Arial" w:cs="Arial" w:eastAsia="Arial" w:hAnsi="Arial"/>
          <w:sz w:val="20"/>
          <w:szCs w:val="20"/>
        </w:rPr>
        <w:t xml:space="preserve">Each row is a functional domain. Red = act immediately. Amber = act this month. Green = no critical gaps found.</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80"/>
        <w:gridCol w:w="2100"/>
        <w:gridCol w:w="1200"/>
        <w:gridCol w:w="1100"/>
        <w:gridCol w:w="1200"/>
        <w:gridCol w:w="2080"/>
        <w:gridCol w:w="1300"/>
      </w:tblGrid>
      <w:tr>
        <w:trPr>
          <w:tblHeader/>
        </w:trPr>
        <w:tc>
          <w:tcPr>
            <w:tcW w:type="dxa" w:w="38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w:t>
            </w:r>
          </w:p>
        </w:tc>
        <w:tc>
          <w:tcPr>
            <w:tcW w:type="dxa" w:w="210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Domain</w:t>
            </w:r>
          </w:p>
        </w:tc>
        <w:tc>
          <w:tcPr>
            <w:tcW w:type="dxa" w:w="120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Owner</w:t>
            </w:r>
          </w:p>
        </w:tc>
        <w:tc>
          <w:tcPr>
            <w:tcW w:type="dxa" w:w="110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Severity</w:t>
            </w:r>
          </w:p>
        </w:tc>
        <w:tc>
          <w:tcPr>
            <w:tcW w:type="dxa" w:w="120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Status</w:t>
            </w:r>
          </w:p>
        </w:tc>
        <w:tc>
          <w:tcPr>
            <w:tcW w:type="dxa" w:w="208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Summary</w:t>
            </w:r>
          </w:p>
        </w:tc>
        <w:tc>
          <w:tcPr>
            <w:tcW w:type="dxa" w:w="130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Articles</w:t>
            </w:r>
          </w:p>
        </w:tc>
      </w:tr>
      <w:tr>
        <w:tc>
          <w:tcPr>
            <w:tcW w:type="dxa" w:w="9360"/>
            <w:gridSpan w:val="7"/>
            <w:tcBorders>
              <w:top w:val="single" w:color="1A5276" w:sz="1"/>
              <w:left w:val="none" w:color="FFFFFF" w:sz="0"/>
              <w:bottom w:val="single" w:color="1A5276" w:sz="1"/>
              <w:right w:val="none" w:color="FFFFFF" w:sz="0"/>
            </w:tcBorders>
            <w:shd w:fill="EBF5FB" w:val="clear"/>
            <w:tcMar>
              <w:top w:type="dxa" w:w="60"/>
              <w:left w:type="dxa" w:w="120"/>
              <w:bottom w:type="dxa" w:w="60"/>
              <w:right w:type="dxa" w:w="120"/>
            </w:tcMar>
          </w:tcPr>
          <w:p>
            <w:r>
              <w:rPr>
                <w:rFonts w:ascii="Arial" w:cs="Arial" w:eastAsia="Arial" w:hAnsi="Arial"/>
                <w:b/>
                <w:bCs/>
                <w:caps/>
                <w:color w:val="1A5276"/>
                <w:sz w:val="16"/>
                <w:szCs w:val="16"/>
              </w:rPr>
              <w:t xml:space="preserve">Legal basis layer</w:t>
            </w:r>
          </w:p>
        </w:tc>
      </w:tr>
      <w:tr>
        <w:tc>
          <w:tcPr>
            <w:tcW w:type="dxa" w:w="3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C2833"/>
                <w:sz w:val="18"/>
                <w:szCs w:val="18"/>
              </w:rPr>
              <w:t xml:space="preserve">1</w:t>
            </w:r>
          </w:p>
        </w:tc>
        <w:tc>
          <w:tcPr>
            <w:tcW w:type="dxa" w:w="2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Lawful basis &amp; consent</w:t>
            </w:r>
          </w:p>
        </w:tc>
        <w:tc>
          <w:tcPr>
            <w:tcW w:type="dxa" w:w="1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7"/>
                <w:szCs w:val="17"/>
              </w:rPr>
              <w:t xml:space="preserve">DPO</w:t>
            </w:r>
          </w:p>
        </w:tc>
        <w:tc>
          <w:tcPr>
            <w:tcW w:type="dxa" w:w="110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left"/>
            </w:pPr>
            <w:r>
              <w:rPr>
                <w:rFonts w:ascii="Arial" w:cs="Arial" w:eastAsia="Arial" w:hAnsi="Arial"/>
                <w:b/>
                <w:bCs/>
                <w:i w:val="false"/>
                <w:iCs w:val="false"/>
                <w:color w:val="C0392B"/>
                <w:sz w:val="16"/>
                <w:szCs w:val="16"/>
              </w:rPr>
              <w:t xml:space="preserve">🔴 Critical</w:t>
            </w:r>
          </w:p>
        </w:tc>
        <w:tc>
          <w:tcPr>
            <w:tcW w:type="dxa" w:w="120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left"/>
            </w:pPr>
            <w:r>
              <w:rPr>
                <w:rFonts w:ascii="Arial" w:cs="Arial" w:eastAsia="Arial" w:hAnsi="Arial"/>
                <w:b/>
                <w:bCs/>
                <w:i w:val="false"/>
                <w:iCs w:val="false"/>
                <w:color w:val="C0392B"/>
                <w:sz w:val="16"/>
                <w:szCs w:val="16"/>
              </w:rPr>
              <w:t xml:space="preserve">Act now</w:t>
            </w:r>
          </w:p>
        </w:tc>
        <w:tc>
          <w:tcPr>
            <w:tcW w:type="dxa" w:w="20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1C2833"/>
                <w:sz w:val="16"/>
                <w:szCs w:val="16"/>
              </w:rPr>
              <w:t xml:space="preserve">No documented legal basis; marketing_opt_in defaults to true; no consent records stored.</w:t>
            </w:r>
          </w:p>
        </w:tc>
        <w:tc>
          <w:tcPr>
            <w:tcW w:type="dxa" w:w="1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5"/>
                <w:szCs w:val="15"/>
              </w:rPr>
              <w:t xml:space="preserve">Arts. 5, 6, 7, 8</w:t>
            </w:r>
          </w:p>
        </w:tc>
      </w:tr>
      <w:tr>
        <w:tc>
          <w:tcPr>
            <w:tcW w:type="dxa" w:w="3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C2833"/>
                <w:sz w:val="18"/>
                <w:szCs w:val="18"/>
              </w:rPr>
              <w:t xml:space="preserve">2</w:t>
            </w:r>
          </w:p>
        </w:tc>
        <w:tc>
          <w:tcPr>
            <w:tcW w:type="dxa" w:w="2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Cookie &amp; ePrivacy compliance</w:t>
            </w:r>
          </w:p>
        </w:tc>
        <w:tc>
          <w:tcPr>
            <w:tcW w:type="dxa" w:w="1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7"/>
                <w:szCs w:val="17"/>
              </w:rPr>
              <w:t xml:space="preserve">Engineering</w:t>
            </w:r>
          </w:p>
        </w:tc>
        <w:tc>
          <w:tcPr>
            <w:tcW w:type="dxa" w:w="110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left"/>
            </w:pPr>
            <w:r>
              <w:rPr>
                <w:rFonts w:ascii="Arial" w:cs="Arial" w:eastAsia="Arial" w:hAnsi="Arial"/>
                <w:b/>
                <w:bCs/>
                <w:i w:val="false"/>
                <w:iCs w:val="false"/>
                <w:color w:val="C0392B"/>
                <w:sz w:val="16"/>
                <w:szCs w:val="16"/>
              </w:rPr>
              <w:t xml:space="preserve">🔴 Critical</w:t>
            </w:r>
          </w:p>
        </w:tc>
        <w:tc>
          <w:tcPr>
            <w:tcW w:type="dxa" w:w="120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left"/>
            </w:pPr>
            <w:r>
              <w:rPr>
                <w:rFonts w:ascii="Arial" w:cs="Arial" w:eastAsia="Arial" w:hAnsi="Arial"/>
                <w:b/>
                <w:bCs/>
                <w:i w:val="false"/>
                <w:iCs w:val="false"/>
                <w:color w:val="C0392B"/>
                <w:sz w:val="16"/>
                <w:szCs w:val="16"/>
              </w:rPr>
              <w:t xml:space="preserve">Act now</w:t>
            </w:r>
          </w:p>
        </w:tc>
        <w:tc>
          <w:tcPr>
            <w:tcW w:type="dxa" w:w="20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1C2833"/>
                <w:sz w:val="16"/>
                <w:szCs w:val="16"/>
              </w:rPr>
              <w:t xml:space="preserve">GA4 and Meta Pixel fire before consent. No cookie banner present.</w:t>
            </w:r>
          </w:p>
        </w:tc>
        <w:tc>
          <w:tcPr>
            <w:tcW w:type="dxa" w:w="1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5"/>
                <w:szCs w:val="15"/>
              </w:rPr>
              <w:t xml:space="preserve">ePrivacy, Art. 95</w:t>
            </w:r>
          </w:p>
        </w:tc>
      </w:tr>
      <w:tr>
        <w:tc>
          <w:tcPr>
            <w:tcW w:type="dxa" w:w="3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C2833"/>
                <w:sz w:val="18"/>
                <w:szCs w:val="18"/>
              </w:rPr>
              <w:t xml:space="preserve">3</w:t>
            </w:r>
          </w:p>
        </w:tc>
        <w:tc>
          <w:tcPr>
            <w:tcW w:type="dxa" w:w="2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Transparency &amp; privacy notice</w:t>
            </w:r>
          </w:p>
        </w:tc>
        <w:tc>
          <w:tcPr>
            <w:tcW w:type="dxa" w:w="1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7"/>
                <w:szCs w:val="17"/>
              </w:rPr>
              <w:t xml:space="preserve">Legal</w:t>
            </w:r>
          </w:p>
        </w:tc>
        <w:tc>
          <w:tcPr>
            <w:tcW w:type="dxa" w:w="11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 High</w:t>
            </w:r>
          </w:p>
        </w:tc>
        <w:tc>
          <w:tcPr>
            <w:tcW w:type="dxa" w:w="12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Act this month</w:t>
            </w:r>
          </w:p>
        </w:tc>
        <w:tc>
          <w:tcPr>
            <w:tcW w:type="dxa" w:w="20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1C2833"/>
                <w:sz w:val="16"/>
                <w:szCs w:val="16"/>
              </w:rPr>
              <w:t xml:space="preserve">Policy missing DPO contact, retention periods, and right to complain to ICO.</w:t>
            </w:r>
          </w:p>
        </w:tc>
        <w:tc>
          <w:tcPr>
            <w:tcW w:type="dxa" w:w="1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5"/>
                <w:szCs w:val="15"/>
              </w:rPr>
              <w:t xml:space="preserve">Arts. 12–14, 77</w:t>
            </w:r>
          </w:p>
        </w:tc>
      </w:tr>
      <w:tr>
        <w:tc>
          <w:tcPr>
            <w:tcW w:type="dxa" w:w="3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C2833"/>
                <w:sz w:val="18"/>
                <w:szCs w:val="18"/>
              </w:rPr>
              <w:t xml:space="preserve">4</w:t>
            </w:r>
          </w:p>
        </w:tc>
        <w:tc>
          <w:tcPr>
            <w:tcW w:type="dxa" w:w="2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Special category &amp; criminal data</w:t>
            </w:r>
          </w:p>
        </w:tc>
        <w:tc>
          <w:tcPr>
            <w:tcW w:type="dxa" w:w="1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7"/>
                <w:szCs w:val="17"/>
              </w:rPr>
              <w:t xml:space="preserve">DPO</w:t>
            </w:r>
          </w:p>
        </w:tc>
        <w:tc>
          <w:tcPr>
            <w:tcW w:type="dxa" w:w="110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left"/>
            </w:pPr>
            <w:r>
              <w:rPr>
                <w:rFonts w:ascii="Arial" w:cs="Arial" w:eastAsia="Arial" w:hAnsi="Arial"/>
                <w:b/>
                <w:bCs/>
                <w:i w:val="false"/>
                <w:iCs w:val="false"/>
                <w:color w:val="C0392B"/>
                <w:sz w:val="16"/>
                <w:szCs w:val="16"/>
              </w:rPr>
              <w:t xml:space="preserve">🔴 Critical</w:t>
            </w:r>
          </w:p>
        </w:tc>
        <w:tc>
          <w:tcPr>
            <w:tcW w:type="dxa" w:w="120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left"/>
            </w:pPr>
            <w:r>
              <w:rPr>
                <w:rFonts w:ascii="Arial" w:cs="Arial" w:eastAsia="Arial" w:hAnsi="Arial"/>
                <w:b/>
                <w:bCs/>
                <w:i w:val="false"/>
                <w:iCs w:val="false"/>
                <w:color w:val="C0392B"/>
                <w:sz w:val="16"/>
                <w:szCs w:val="16"/>
              </w:rPr>
              <w:t xml:space="preserve">Act now</w:t>
            </w:r>
          </w:p>
        </w:tc>
        <w:tc>
          <w:tcPr>
            <w:tcW w:type="dxa" w:w="20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1C2833"/>
                <w:sz w:val="16"/>
                <w:szCs w:val="16"/>
              </w:rPr>
              <w:t xml:space="preserve">health_status field in users table — special category data with no explicit consent.</w:t>
            </w:r>
          </w:p>
        </w:tc>
        <w:tc>
          <w:tcPr>
            <w:tcW w:type="dxa" w:w="1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5"/>
                <w:szCs w:val="15"/>
              </w:rPr>
              <w:t xml:space="preserve">Arts. 9, 10</w:t>
            </w:r>
          </w:p>
        </w:tc>
      </w:tr>
      <w:tr>
        <w:tc>
          <w:tcPr>
            <w:tcW w:type="dxa" w:w="9360"/>
            <w:gridSpan w:val="7"/>
            <w:tcBorders>
              <w:top w:val="single" w:color="1A5276" w:sz="1"/>
              <w:left w:val="none" w:color="FFFFFF" w:sz="0"/>
              <w:bottom w:val="single" w:color="1A5276" w:sz="1"/>
              <w:right w:val="none" w:color="FFFFFF" w:sz="0"/>
            </w:tcBorders>
            <w:shd w:fill="EBF5FB" w:val="clear"/>
            <w:tcMar>
              <w:top w:type="dxa" w:w="60"/>
              <w:left w:type="dxa" w:w="120"/>
              <w:bottom w:type="dxa" w:w="60"/>
              <w:right w:type="dxa" w:w="120"/>
            </w:tcMar>
          </w:tcPr>
          <w:p>
            <w:r>
              <w:rPr>
                <w:rFonts w:ascii="Arial" w:cs="Arial" w:eastAsia="Arial" w:hAnsi="Arial"/>
                <w:b/>
                <w:bCs/>
                <w:caps/>
                <w:color w:val="1A5276"/>
                <w:sz w:val="16"/>
                <w:szCs w:val="16"/>
              </w:rPr>
              <w:t xml:space="preserve">Data subject rights layer</w:t>
            </w:r>
          </w:p>
        </w:tc>
      </w:tr>
      <w:tr>
        <w:tc>
          <w:tcPr>
            <w:tcW w:type="dxa" w:w="3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C2833"/>
                <w:sz w:val="18"/>
                <w:szCs w:val="18"/>
              </w:rPr>
              <w:t xml:space="preserve">5</w:t>
            </w:r>
          </w:p>
        </w:tc>
        <w:tc>
          <w:tcPr>
            <w:tcW w:type="dxa" w:w="2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Data subject rights</w:t>
            </w:r>
          </w:p>
        </w:tc>
        <w:tc>
          <w:tcPr>
            <w:tcW w:type="dxa" w:w="1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7"/>
                <w:szCs w:val="17"/>
              </w:rPr>
              <w:t xml:space="preserve">DPO</w:t>
            </w:r>
          </w:p>
        </w:tc>
        <w:tc>
          <w:tcPr>
            <w:tcW w:type="dxa" w:w="11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 High</w:t>
            </w:r>
          </w:p>
        </w:tc>
        <w:tc>
          <w:tcPr>
            <w:tcW w:type="dxa" w:w="12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Act this month</w:t>
            </w:r>
          </w:p>
        </w:tc>
        <w:tc>
          <w:tcPr>
            <w:tcW w:type="dxa" w:w="20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1C2833"/>
                <w:sz w:val="16"/>
                <w:szCs w:val="16"/>
              </w:rPr>
              <w:t xml:space="preserve">No data export endpoint or SAR process. No user-facing deletion flow for PII.</w:t>
            </w:r>
          </w:p>
        </w:tc>
        <w:tc>
          <w:tcPr>
            <w:tcW w:type="dxa" w:w="1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5"/>
                <w:szCs w:val="15"/>
              </w:rPr>
              <w:t xml:space="preserve">Arts. 15–22</w:t>
            </w:r>
          </w:p>
        </w:tc>
      </w:tr>
      <w:tr>
        <w:tc>
          <w:tcPr>
            <w:tcW w:type="dxa" w:w="3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C2833"/>
                <w:sz w:val="18"/>
                <w:szCs w:val="18"/>
              </w:rPr>
              <w:t xml:space="preserve">6</w:t>
            </w:r>
          </w:p>
        </w:tc>
        <w:tc>
          <w:tcPr>
            <w:tcW w:type="dxa" w:w="2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Retention &amp; deletion</w:t>
            </w:r>
          </w:p>
        </w:tc>
        <w:tc>
          <w:tcPr>
            <w:tcW w:type="dxa" w:w="1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7"/>
                <w:szCs w:val="17"/>
              </w:rPr>
              <w:t xml:space="preserve">Engineering</w:t>
            </w:r>
          </w:p>
        </w:tc>
        <w:tc>
          <w:tcPr>
            <w:tcW w:type="dxa" w:w="110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left"/>
            </w:pPr>
            <w:r>
              <w:rPr>
                <w:rFonts w:ascii="Arial" w:cs="Arial" w:eastAsia="Arial" w:hAnsi="Arial"/>
                <w:b/>
                <w:bCs/>
                <w:i w:val="false"/>
                <w:iCs w:val="false"/>
                <w:color w:val="C0392B"/>
                <w:sz w:val="16"/>
                <w:szCs w:val="16"/>
              </w:rPr>
              <w:t xml:space="preserve">🔴 Critical</w:t>
            </w:r>
          </w:p>
        </w:tc>
        <w:tc>
          <w:tcPr>
            <w:tcW w:type="dxa" w:w="120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left"/>
            </w:pPr>
            <w:r>
              <w:rPr>
                <w:rFonts w:ascii="Arial" w:cs="Arial" w:eastAsia="Arial" w:hAnsi="Arial"/>
                <w:b/>
                <w:bCs/>
                <w:i w:val="false"/>
                <w:iCs w:val="false"/>
                <w:color w:val="C0392B"/>
                <w:sz w:val="16"/>
                <w:szCs w:val="16"/>
              </w:rPr>
              <w:t xml:space="preserve">Act now</w:t>
            </w:r>
          </w:p>
        </w:tc>
        <w:tc>
          <w:tcPr>
            <w:tcW w:type="dxa" w:w="20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1C2833"/>
                <w:sz w:val="16"/>
                <w:szCs w:val="16"/>
              </w:rPr>
              <w:t xml:space="preserve">Soft-delete only — PII fields persist. No retention schedule. Processors not notified.</w:t>
            </w:r>
          </w:p>
        </w:tc>
        <w:tc>
          <w:tcPr>
            <w:tcW w:type="dxa" w:w="1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5"/>
                <w:szCs w:val="15"/>
              </w:rPr>
              <w:t xml:space="preserve">Arts. 5(e), 17</w:t>
            </w:r>
          </w:p>
        </w:tc>
      </w:tr>
      <w:tr>
        <w:tc>
          <w:tcPr>
            <w:tcW w:type="dxa" w:w="9360"/>
            <w:gridSpan w:val="7"/>
            <w:tcBorders>
              <w:top w:val="single" w:color="1A5276" w:sz="1"/>
              <w:left w:val="none" w:color="FFFFFF" w:sz="0"/>
              <w:bottom w:val="single" w:color="1A5276" w:sz="1"/>
              <w:right w:val="none" w:color="FFFFFF" w:sz="0"/>
            </w:tcBorders>
            <w:shd w:fill="EBF5FB" w:val="clear"/>
            <w:tcMar>
              <w:top w:type="dxa" w:w="60"/>
              <w:left w:type="dxa" w:w="120"/>
              <w:bottom w:type="dxa" w:w="60"/>
              <w:right w:type="dxa" w:w="120"/>
            </w:tcMar>
          </w:tcPr>
          <w:p>
            <w:r>
              <w:rPr>
                <w:rFonts w:ascii="Arial" w:cs="Arial" w:eastAsia="Arial" w:hAnsi="Arial"/>
                <w:b/>
                <w:bCs/>
                <w:caps/>
                <w:color w:val="1A5276"/>
                <w:sz w:val="16"/>
                <w:szCs w:val="16"/>
              </w:rPr>
              <w:t xml:space="preserve">Third-party layer</w:t>
            </w:r>
          </w:p>
        </w:tc>
      </w:tr>
      <w:tr>
        <w:tc>
          <w:tcPr>
            <w:tcW w:type="dxa" w:w="3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C2833"/>
                <w:sz w:val="18"/>
                <w:szCs w:val="18"/>
              </w:rPr>
              <w:t xml:space="preserve">7</w:t>
            </w:r>
          </w:p>
        </w:tc>
        <w:tc>
          <w:tcPr>
            <w:tcW w:type="dxa" w:w="2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Processors, joint controllers &amp; ROPA</w:t>
            </w:r>
          </w:p>
        </w:tc>
        <w:tc>
          <w:tcPr>
            <w:tcW w:type="dxa" w:w="1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7"/>
                <w:szCs w:val="17"/>
              </w:rPr>
              <w:t xml:space="preserve">DPO</w:t>
            </w:r>
          </w:p>
        </w:tc>
        <w:tc>
          <w:tcPr>
            <w:tcW w:type="dxa" w:w="110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left"/>
            </w:pPr>
            <w:r>
              <w:rPr>
                <w:rFonts w:ascii="Arial" w:cs="Arial" w:eastAsia="Arial" w:hAnsi="Arial"/>
                <w:b/>
                <w:bCs/>
                <w:i w:val="false"/>
                <w:iCs w:val="false"/>
                <w:color w:val="C0392B"/>
                <w:sz w:val="16"/>
                <w:szCs w:val="16"/>
              </w:rPr>
              <w:t xml:space="preserve">🔴 Critical</w:t>
            </w:r>
          </w:p>
        </w:tc>
        <w:tc>
          <w:tcPr>
            <w:tcW w:type="dxa" w:w="120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left"/>
            </w:pPr>
            <w:r>
              <w:rPr>
                <w:rFonts w:ascii="Arial" w:cs="Arial" w:eastAsia="Arial" w:hAnsi="Arial"/>
                <w:b/>
                <w:bCs/>
                <w:i w:val="false"/>
                <w:iCs w:val="false"/>
                <w:color w:val="C0392B"/>
                <w:sz w:val="16"/>
                <w:szCs w:val="16"/>
              </w:rPr>
              <w:t xml:space="preserve">Act now</w:t>
            </w:r>
          </w:p>
        </w:tc>
        <w:tc>
          <w:tcPr>
            <w:tcW w:type="dxa" w:w="20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1C2833"/>
                <w:sz w:val="16"/>
                <w:szCs w:val="16"/>
              </w:rPr>
              <w:t xml:space="preserve">No DPAs signed with any processor. No ROPA. No joint controller agreement with Google/Meta.</w:t>
            </w:r>
          </w:p>
        </w:tc>
        <w:tc>
          <w:tcPr>
            <w:tcW w:type="dxa" w:w="1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5"/>
                <w:szCs w:val="15"/>
              </w:rPr>
              <w:t xml:space="preserve">Arts. 26, 28–30, 82</w:t>
            </w:r>
          </w:p>
        </w:tc>
      </w:tr>
      <w:tr>
        <w:tc>
          <w:tcPr>
            <w:tcW w:type="dxa" w:w="3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C2833"/>
                <w:sz w:val="18"/>
                <w:szCs w:val="18"/>
              </w:rPr>
              <w:t xml:space="preserve">8</w:t>
            </w:r>
          </w:p>
        </w:tc>
        <w:tc>
          <w:tcPr>
            <w:tcW w:type="dxa" w:w="2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International transfers</w:t>
            </w:r>
          </w:p>
        </w:tc>
        <w:tc>
          <w:tcPr>
            <w:tcW w:type="dxa" w:w="1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7"/>
                <w:szCs w:val="17"/>
              </w:rPr>
              <w:t xml:space="preserve">Legal</w:t>
            </w:r>
          </w:p>
        </w:tc>
        <w:tc>
          <w:tcPr>
            <w:tcW w:type="dxa" w:w="11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 High</w:t>
            </w:r>
          </w:p>
        </w:tc>
        <w:tc>
          <w:tcPr>
            <w:tcW w:type="dxa" w:w="12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Act this month</w:t>
            </w:r>
          </w:p>
        </w:tc>
        <w:tc>
          <w:tcPr>
            <w:tcW w:type="dxa" w:w="20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1C2833"/>
                <w:sz w:val="16"/>
                <w:szCs w:val="16"/>
              </w:rPr>
              <w:t xml:space="preserve">US processors (Stripe, Mailchimp, Segment) in use — DPF / SCCs not confirmed.</w:t>
            </w:r>
          </w:p>
        </w:tc>
        <w:tc>
          <w:tcPr>
            <w:tcW w:type="dxa" w:w="1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5"/>
                <w:szCs w:val="15"/>
              </w:rPr>
              <w:t xml:space="preserve">Arts. 44–49</w:t>
            </w:r>
          </w:p>
        </w:tc>
      </w:tr>
      <w:tr>
        <w:tc>
          <w:tcPr>
            <w:tcW w:type="dxa" w:w="9360"/>
            <w:gridSpan w:val="7"/>
            <w:tcBorders>
              <w:top w:val="single" w:color="1A5276" w:sz="1"/>
              <w:left w:val="none" w:color="FFFFFF" w:sz="0"/>
              <w:bottom w:val="single" w:color="1A5276" w:sz="1"/>
              <w:right w:val="none" w:color="FFFFFF" w:sz="0"/>
            </w:tcBorders>
            <w:shd w:fill="EBF5FB" w:val="clear"/>
            <w:tcMar>
              <w:top w:type="dxa" w:w="60"/>
              <w:left w:type="dxa" w:w="120"/>
              <w:bottom w:type="dxa" w:w="60"/>
              <w:right w:type="dxa" w:w="120"/>
            </w:tcMar>
          </w:tcPr>
          <w:p>
            <w:r>
              <w:rPr>
                <w:rFonts w:ascii="Arial" w:cs="Arial" w:eastAsia="Arial" w:hAnsi="Arial"/>
                <w:b/>
                <w:bCs/>
                <w:caps/>
                <w:color w:val="1A5276"/>
                <w:sz w:val="16"/>
                <w:szCs w:val="16"/>
              </w:rPr>
              <w:t xml:space="preserve">Technical controls layer</w:t>
            </w:r>
          </w:p>
        </w:tc>
      </w:tr>
      <w:tr>
        <w:tc>
          <w:tcPr>
            <w:tcW w:type="dxa" w:w="3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C2833"/>
                <w:sz w:val="18"/>
                <w:szCs w:val="18"/>
              </w:rPr>
              <w:t xml:space="preserve">9</w:t>
            </w:r>
          </w:p>
        </w:tc>
        <w:tc>
          <w:tcPr>
            <w:tcW w:type="dxa" w:w="2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Security &amp; logging controls</w:t>
            </w:r>
          </w:p>
        </w:tc>
        <w:tc>
          <w:tcPr>
            <w:tcW w:type="dxa" w:w="1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7"/>
                <w:szCs w:val="17"/>
              </w:rPr>
              <w:t xml:space="preserve">Engineering</w:t>
            </w:r>
          </w:p>
        </w:tc>
        <w:tc>
          <w:tcPr>
            <w:tcW w:type="dxa" w:w="11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 High</w:t>
            </w:r>
          </w:p>
        </w:tc>
        <w:tc>
          <w:tcPr>
            <w:tcW w:type="dxa" w:w="12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Act this month</w:t>
            </w:r>
          </w:p>
        </w:tc>
        <w:tc>
          <w:tcPr>
            <w:tcW w:type="dxa" w:w="20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1C2833"/>
                <w:sz w:val="16"/>
                <w:szCs w:val="16"/>
              </w:rPr>
              <w:t xml:space="preserve">Auth tokens in localStorage. Email addresses in Sentry logs.</w:t>
            </w:r>
          </w:p>
        </w:tc>
        <w:tc>
          <w:tcPr>
            <w:tcW w:type="dxa" w:w="1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5"/>
                <w:szCs w:val="15"/>
              </w:rPr>
              <w:t xml:space="preserve">Art. 32</w:t>
            </w:r>
          </w:p>
        </w:tc>
      </w:tr>
      <w:tr>
        <w:tc>
          <w:tcPr>
            <w:tcW w:type="dxa" w:w="3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C2833"/>
                <w:sz w:val="18"/>
                <w:szCs w:val="18"/>
              </w:rPr>
              <w:t xml:space="preserve">10</w:t>
            </w:r>
          </w:p>
        </w:tc>
        <w:tc>
          <w:tcPr>
            <w:tcW w:type="dxa" w:w="2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Access governance</w:t>
            </w:r>
          </w:p>
        </w:tc>
        <w:tc>
          <w:tcPr>
            <w:tcW w:type="dxa" w:w="1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7"/>
                <w:szCs w:val="17"/>
              </w:rPr>
              <w:t xml:space="preserve">Engineering</w:t>
            </w:r>
          </w:p>
        </w:tc>
        <w:tc>
          <w:tcPr>
            <w:tcW w:type="dxa" w:w="11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vAlign w:val="center"/>
          </w:tcPr>
          <w:p>
            <w:pPr>
              <w:jc w:val="left"/>
            </w:pPr>
            <w:r>
              <w:rPr>
                <w:rFonts w:ascii="Arial" w:cs="Arial" w:eastAsia="Arial" w:hAnsi="Arial"/>
                <w:b/>
                <w:bCs/>
                <w:i w:val="false"/>
                <w:iCs w:val="false"/>
                <w:color w:val="5D6D7E"/>
                <w:sz w:val="16"/>
                <w:szCs w:val="16"/>
              </w:rPr>
              <w:t xml:space="preserve">🟡 Medium</w:t>
            </w:r>
          </w:p>
        </w:tc>
        <w:tc>
          <w:tcPr>
            <w:tcW w:type="dxa" w:w="12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Act this month</w:t>
            </w:r>
          </w:p>
        </w:tc>
        <w:tc>
          <w:tcPr>
            <w:tcW w:type="dxa" w:w="20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1C2833"/>
                <w:sz w:val="16"/>
                <w:szCs w:val="16"/>
              </w:rPr>
              <w:t xml:space="preserve">No access register or quarterly review process found in the codebase or docs.</w:t>
            </w:r>
          </w:p>
        </w:tc>
        <w:tc>
          <w:tcPr>
            <w:tcW w:type="dxa" w:w="1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5"/>
                <w:szCs w:val="15"/>
              </w:rPr>
              <w:t xml:space="preserve">Art. 32</w:t>
            </w:r>
          </w:p>
        </w:tc>
      </w:tr>
      <w:tr>
        <w:tc>
          <w:tcPr>
            <w:tcW w:type="dxa" w:w="3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C2833"/>
                <w:sz w:val="18"/>
                <w:szCs w:val="18"/>
              </w:rPr>
              <w:t xml:space="preserve">11</w:t>
            </w:r>
          </w:p>
        </w:tc>
        <w:tc>
          <w:tcPr>
            <w:tcW w:type="dxa" w:w="2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Privacy by design &amp; default</w:t>
            </w:r>
          </w:p>
        </w:tc>
        <w:tc>
          <w:tcPr>
            <w:tcW w:type="dxa" w:w="1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7"/>
                <w:szCs w:val="17"/>
              </w:rPr>
              <w:t xml:space="preserve">Engineering</w:t>
            </w:r>
          </w:p>
        </w:tc>
        <w:tc>
          <w:tcPr>
            <w:tcW w:type="dxa" w:w="11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vAlign w:val="center"/>
          </w:tcPr>
          <w:p>
            <w:pPr>
              <w:jc w:val="left"/>
            </w:pPr>
            <w:r>
              <w:rPr>
                <w:rFonts w:ascii="Arial" w:cs="Arial" w:eastAsia="Arial" w:hAnsi="Arial"/>
                <w:b/>
                <w:bCs/>
                <w:i w:val="false"/>
                <w:iCs w:val="false"/>
                <w:color w:val="5D6D7E"/>
                <w:sz w:val="16"/>
                <w:szCs w:val="16"/>
              </w:rPr>
              <w:t xml:space="preserve">🟡 Medium</w:t>
            </w:r>
          </w:p>
        </w:tc>
        <w:tc>
          <w:tcPr>
            <w:tcW w:type="dxa" w:w="12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Act this month</w:t>
            </w:r>
          </w:p>
        </w:tc>
        <w:tc>
          <w:tcPr>
            <w:tcW w:type="dxa" w:w="20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1C2833"/>
                <w:sz w:val="16"/>
                <w:szCs w:val="16"/>
              </w:rPr>
              <w:t xml:space="preserve">Profiles default to public. Email used as URL parameter in /user/:email route.</w:t>
            </w:r>
          </w:p>
        </w:tc>
        <w:tc>
          <w:tcPr>
            <w:tcW w:type="dxa" w:w="1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5"/>
                <w:szCs w:val="15"/>
              </w:rPr>
              <w:t xml:space="preserve">Art. 25</w:t>
            </w:r>
          </w:p>
        </w:tc>
      </w:tr>
      <w:tr>
        <w:tc>
          <w:tcPr>
            <w:tcW w:type="dxa" w:w="3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C2833"/>
                <w:sz w:val="18"/>
                <w:szCs w:val="18"/>
              </w:rPr>
              <w:t xml:space="preserve">12</w:t>
            </w:r>
          </w:p>
        </w:tc>
        <w:tc>
          <w:tcPr>
            <w:tcW w:type="dxa" w:w="2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DPIA</w:t>
            </w:r>
          </w:p>
        </w:tc>
        <w:tc>
          <w:tcPr>
            <w:tcW w:type="dxa" w:w="1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7"/>
                <w:szCs w:val="17"/>
              </w:rPr>
              <w:t xml:space="preserve">DPO</w:t>
            </w:r>
          </w:p>
        </w:tc>
        <w:tc>
          <w:tcPr>
            <w:tcW w:type="dxa" w:w="11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 High</w:t>
            </w:r>
          </w:p>
        </w:tc>
        <w:tc>
          <w:tcPr>
            <w:tcW w:type="dxa" w:w="12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Act this month</w:t>
            </w:r>
          </w:p>
        </w:tc>
        <w:tc>
          <w:tcPr>
            <w:tcW w:type="dxa" w:w="20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1C2833"/>
                <w:sz w:val="16"/>
                <w:szCs w:val="16"/>
              </w:rPr>
              <w:t xml:space="preserve">health_status processing requires a DPIA — none on record.</w:t>
            </w:r>
          </w:p>
        </w:tc>
        <w:tc>
          <w:tcPr>
            <w:tcW w:type="dxa" w:w="1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5"/>
                <w:szCs w:val="15"/>
              </w:rPr>
              <w:t xml:space="preserve">Arts. 35, 36</w:t>
            </w:r>
          </w:p>
        </w:tc>
      </w:tr>
      <w:tr>
        <w:tc>
          <w:tcPr>
            <w:tcW w:type="dxa" w:w="3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C2833"/>
                <w:sz w:val="18"/>
                <w:szCs w:val="18"/>
              </w:rPr>
              <w:t xml:space="preserve">13</w:t>
            </w:r>
          </w:p>
        </w:tc>
        <w:tc>
          <w:tcPr>
            <w:tcW w:type="dxa" w:w="2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Breach handling</w:t>
            </w:r>
          </w:p>
        </w:tc>
        <w:tc>
          <w:tcPr>
            <w:tcW w:type="dxa" w:w="1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7"/>
                <w:szCs w:val="17"/>
              </w:rPr>
              <w:t xml:space="preserve">DPO</w:t>
            </w:r>
          </w:p>
        </w:tc>
        <w:tc>
          <w:tcPr>
            <w:tcW w:type="dxa" w:w="11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vAlign w:val="center"/>
          </w:tcPr>
          <w:p>
            <w:pPr>
              <w:jc w:val="left"/>
            </w:pPr>
            <w:r>
              <w:rPr>
                <w:rFonts w:ascii="Arial" w:cs="Arial" w:eastAsia="Arial" w:hAnsi="Arial"/>
                <w:b/>
                <w:bCs/>
                <w:i w:val="false"/>
                <w:iCs w:val="false"/>
                <w:color w:val="5D6D7E"/>
                <w:sz w:val="16"/>
                <w:szCs w:val="16"/>
              </w:rPr>
              <w:t xml:space="preserve">🟡 Medium</w:t>
            </w:r>
          </w:p>
        </w:tc>
        <w:tc>
          <w:tcPr>
            <w:tcW w:type="dxa" w:w="12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Act this month</w:t>
            </w:r>
          </w:p>
        </w:tc>
        <w:tc>
          <w:tcPr>
            <w:tcW w:type="dxa" w:w="20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1C2833"/>
                <w:sz w:val="16"/>
                <w:szCs w:val="16"/>
              </w:rPr>
              <w:t xml:space="preserve">No breach notification runbook. No 72-hour notification procedure documented.</w:t>
            </w:r>
          </w:p>
        </w:tc>
        <w:tc>
          <w:tcPr>
            <w:tcW w:type="dxa" w:w="1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5"/>
                <w:szCs w:val="15"/>
              </w:rPr>
              <w:t xml:space="preserve">Arts. 33, 34</w:t>
            </w:r>
          </w:p>
        </w:tc>
      </w:tr>
      <w:tr>
        <w:tc>
          <w:tcPr>
            <w:tcW w:type="dxa" w:w="9360"/>
            <w:gridSpan w:val="7"/>
            <w:tcBorders>
              <w:top w:val="single" w:color="1A5276" w:sz="1"/>
              <w:left w:val="none" w:color="FFFFFF" w:sz="0"/>
              <w:bottom w:val="single" w:color="1A5276" w:sz="1"/>
              <w:right w:val="none" w:color="FFFFFF" w:sz="0"/>
            </w:tcBorders>
            <w:shd w:fill="EBF5FB" w:val="clear"/>
            <w:tcMar>
              <w:top w:type="dxa" w:w="60"/>
              <w:left w:type="dxa" w:w="120"/>
              <w:bottom w:type="dxa" w:w="60"/>
              <w:right w:type="dxa" w:w="120"/>
            </w:tcMar>
          </w:tcPr>
          <w:p>
            <w:r>
              <w:rPr>
                <w:rFonts w:ascii="Arial" w:cs="Arial" w:eastAsia="Arial" w:hAnsi="Arial"/>
                <w:b/>
                <w:bCs/>
                <w:caps/>
                <w:color w:val="1A5276"/>
                <w:sz w:val="16"/>
                <w:szCs w:val="16"/>
              </w:rPr>
              <w:t xml:space="preserve">Governance layer</w:t>
            </w:r>
          </w:p>
        </w:tc>
      </w:tr>
      <w:tr>
        <w:tc>
          <w:tcPr>
            <w:tcW w:type="dxa" w:w="3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C2833"/>
                <w:sz w:val="18"/>
                <w:szCs w:val="18"/>
              </w:rPr>
              <w:t xml:space="preserve">14</w:t>
            </w:r>
          </w:p>
        </w:tc>
        <w:tc>
          <w:tcPr>
            <w:tcW w:type="dxa" w:w="2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Governance, DPO &amp; EU representative</w:t>
            </w:r>
          </w:p>
        </w:tc>
        <w:tc>
          <w:tcPr>
            <w:tcW w:type="dxa" w:w="1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7"/>
                <w:szCs w:val="17"/>
              </w:rPr>
              <w:t xml:space="preserve">Legal</w:t>
            </w:r>
          </w:p>
        </w:tc>
        <w:tc>
          <w:tcPr>
            <w:tcW w:type="dxa" w:w="11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vAlign w:val="center"/>
          </w:tcPr>
          <w:p>
            <w:pPr>
              <w:jc w:val="left"/>
            </w:pPr>
            <w:r>
              <w:rPr>
                <w:rFonts w:ascii="Arial" w:cs="Arial" w:eastAsia="Arial" w:hAnsi="Arial"/>
                <w:b/>
                <w:bCs/>
                <w:i w:val="false"/>
                <w:iCs w:val="false"/>
                <w:color w:val="5D6D7E"/>
                <w:sz w:val="16"/>
                <w:szCs w:val="16"/>
              </w:rPr>
              <w:t xml:space="preserve">🟡 Medium</w:t>
            </w:r>
          </w:p>
        </w:tc>
        <w:tc>
          <w:tcPr>
            <w:tcW w:type="dxa" w:w="12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Act this month</w:t>
            </w:r>
          </w:p>
        </w:tc>
        <w:tc>
          <w:tcPr>
            <w:tcW w:type="dxa" w:w="20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1C2833"/>
                <w:sz w:val="16"/>
                <w:szCs w:val="16"/>
              </w:rPr>
              <w:t xml:space="preserve">No DPO designated. No EU representative named. No Art. 24 accountability framework.</w:t>
            </w:r>
          </w:p>
        </w:tc>
        <w:tc>
          <w:tcPr>
            <w:tcW w:type="dxa" w:w="1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5"/>
                <w:szCs w:val="15"/>
              </w:rPr>
              <w:t xml:space="preserve">Arts. 24, 27, 37–39</w:t>
            </w:r>
          </w:p>
        </w:tc>
      </w:tr>
      <w:tr>
        <w:tc>
          <w:tcPr>
            <w:tcW w:type="dxa" w:w="3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C2833"/>
                <w:sz w:val="18"/>
                <w:szCs w:val="18"/>
              </w:rPr>
              <w:t xml:space="preserve">15</w:t>
            </w:r>
          </w:p>
        </w:tc>
        <w:tc>
          <w:tcPr>
            <w:tcW w:type="dxa" w:w="2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Training &amp; awareness</w:t>
            </w:r>
          </w:p>
        </w:tc>
        <w:tc>
          <w:tcPr>
            <w:tcW w:type="dxa" w:w="1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7"/>
                <w:szCs w:val="17"/>
              </w:rPr>
              <w:t xml:space="preserve">HR / Ops</w:t>
            </w:r>
          </w:p>
        </w:tc>
        <w:tc>
          <w:tcPr>
            <w:tcW w:type="dxa" w:w="11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vAlign w:val="center"/>
          </w:tcPr>
          <w:p>
            <w:pPr>
              <w:jc w:val="left"/>
            </w:pPr>
            <w:r>
              <w:rPr>
                <w:rFonts w:ascii="Arial" w:cs="Arial" w:eastAsia="Arial" w:hAnsi="Arial"/>
                <w:b/>
                <w:bCs/>
                <w:i w:val="false"/>
                <w:iCs w:val="false"/>
                <w:color w:val="5D6D7E"/>
                <w:sz w:val="16"/>
                <w:szCs w:val="16"/>
              </w:rPr>
              <w:t xml:space="preserve">🟡 Medium</w:t>
            </w:r>
          </w:p>
        </w:tc>
        <w:tc>
          <w:tcPr>
            <w:tcW w:type="dxa" w:w="12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Act this month</w:t>
            </w:r>
          </w:p>
        </w:tc>
        <w:tc>
          <w:tcPr>
            <w:tcW w:type="dxa" w:w="208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1C2833"/>
                <w:sz w:val="16"/>
                <w:szCs w:val="16"/>
              </w:rPr>
              <w:t xml:space="preserve">No training programme or completion records found.</w:t>
            </w:r>
          </w:p>
        </w:tc>
        <w:tc>
          <w:tcPr>
            <w:tcW w:type="dxa" w:w="13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5"/>
                <w:szCs w:val="15"/>
              </w:rPr>
              <w:t xml:space="preserve">Arts. 29, 32</w:t>
            </w:r>
          </w:p>
        </w:tc>
      </w:tr>
    </w:tbl>
    <w:p>
      <w:pPr>
        <w:pageBreakBefore/>
      </w:pPr>
      <w:r>
        <w:t xml:space="preserve"/>
      </w:r>
    </w:p>
    <w:p>
      <w:pPr>
        <w:pStyle w:val="Heading1"/>
      </w:pPr>
      <w:r>
        <w:rPr>
          <w:rFonts w:ascii="Arial" w:cs="Arial" w:eastAsia="Arial" w:hAnsi="Arial"/>
        </w:rPr>
        <w:t xml:space="preserve">2. Domain findings &amp; actions</w:t>
      </w:r>
    </w:p>
    <w:p>
      <w:pPr>
        <w:spacing w:after="100"/>
      </w:pPr>
      <w:r>
        <w:rPr>
          <w:rFonts w:ascii="Arial" w:cs="Arial" w:eastAsia="Arial" w:hAnsi="Arial"/>
          <w:sz w:val="20"/>
          <w:szCs w:val="20"/>
        </w:rPr>
        <w:t xml:space="preserve">Full findings for all 15 standard domains.</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9360"/>
            <w:gridSpan w:val="2"/>
            <w:tcBorders>
              <w:top w:val="none" w:color="FFFFFF" w:sz="0"/>
              <w:left w:val="none" w:color="FFFFFF" w:sz="0"/>
              <w:bottom w:val="none" w:color="FFFFFF" w:sz="0"/>
              <w:right w:val="none" w:color="FFFFFF" w:sz="0"/>
            </w:tcBorders>
            <w:shd w:fill="1A3A5C" w:val="clear"/>
            <w:tcMar>
              <w:top w:type="dxa" w:w="100"/>
              <w:left w:type="dxa" w:w="140"/>
              <w:bottom w:type="dxa" w:w="100"/>
              <w:right w:type="dxa" w:w="140"/>
            </w:tcMar>
          </w:tcPr>
          <w:p>
            <w:r>
              <w:rPr>
                <w:rFonts w:ascii="Arial" w:cs="Arial" w:eastAsia="Arial" w:hAnsi="Arial"/>
                <w:b/>
                <w:bCs/>
                <w:color w:val="FFFFFF"/>
                <w:sz w:val="22"/>
                <w:szCs w:val="22"/>
              </w:rPr>
              <w:t xml:space="preserve">1. Lawful basis &amp; consent</w:t>
            </w:r>
          </w:p>
        </w:tc>
      </w:tr>
      <w:tr>
        <w:tc>
          <w:tcPr>
            <w:tcW w:type="dxa" w:w="9360"/>
            <w:gridSpan w:val="2"/>
            <w:tcBorders>
              <w:top w:val="none" w:color="FFFFFF" w:sz="0"/>
              <w:left w:val="none" w:color="FFFFFF" w:sz="0"/>
              <w:bottom w:val="single" w:color="AAAAAA" w:sz="1"/>
              <w:right w:val="none" w:color="FFFFFF" w:sz="0"/>
            </w:tcBorders>
            <w:shd w:fill="EBF5FB" w:val="clear"/>
            <w:tcMar>
              <w:top w:type="dxa" w:w="60"/>
              <w:left w:type="dxa" w:w="140"/>
              <w:bottom w:type="dxa" w:w="60"/>
              <w:right w:type="dxa" w:w="140"/>
            </w:tcMar>
          </w:tcPr>
          <w:p>
            <w:r>
              <w:rPr>
                <w:rFonts w:ascii="Arial" w:cs="Arial" w:eastAsia="Arial" w:hAnsi="Arial"/>
                <w:b/>
                <w:bCs/>
                <w:color w:val="1C2833"/>
                <w:sz w:val="17"/>
                <w:szCs w:val="17"/>
              </w:rPr>
              <w:t xml:space="preserve">Owner: </w:t>
            </w:r>
            <w:r>
              <w:rPr>
                <w:rFonts w:ascii="Arial" w:cs="Arial" w:eastAsia="Arial" w:hAnsi="Arial"/>
                <w:color w:val="1C2833"/>
                <w:sz w:val="17"/>
                <w:szCs w:val="17"/>
              </w:rPr>
              <w:t xml:space="preserve">DPO   </w:t>
            </w:r>
            <w:r>
              <w:rPr>
                <w:rFonts w:ascii="Arial" w:cs="Arial" w:eastAsia="Arial" w:hAnsi="Arial"/>
                <w:b/>
                <w:bCs/>
                <w:color w:val="1C2833"/>
                <w:sz w:val="17"/>
                <w:szCs w:val="17"/>
              </w:rPr>
              <w:t xml:space="preserve">Severity: </w:t>
            </w:r>
            <w:r>
              <w:rPr>
                <w:rFonts w:ascii="Arial" w:cs="Arial" w:eastAsia="Arial" w:hAnsi="Arial"/>
                <w:b/>
                <w:bCs/>
                <w:color w:val="C0392B"/>
                <w:sz w:val="17"/>
                <w:szCs w:val="17"/>
              </w:rPr>
              <w:t xml:space="preserve">🔴 Critical   </w:t>
            </w:r>
            <w:r>
              <w:rPr>
                <w:rFonts w:ascii="Arial" w:cs="Arial" w:eastAsia="Arial" w:hAnsi="Arial"/>
                <w:b/>
                <w:bCs/>
                <w:color w:val="1C2833"/>
                <w:sz w:val="17"/>
                <w:szCs w:val="17"/>
              </w:rPr>
              <w:t xml:space="preserve">Articles: </w:t>
            </w:r>
            <w:r>
              <w:rPr>
                <w:rFonts w:ascii="Arial" w:cs="Arial" w:eastAsia="Arial" w:hAnsi="Arial"/>
                <w:i/>
                <w:iCs/>
                <w:color w:val="5D6D7E"/>
                <w:sz w:val="17"/>
                <w:szCs w:val="17"/>
              </w:rPr>
              <w:t xml:space="preserve">Arts. 5, 6, 7, 8   </w:t>
            </w:r>
            <w:r>
              <w:rPr>
                <w:rFonts w:ascii="Arial" w:cs="Arial" w:eastAsia="Arial" w:hAnsi="Arial"/>
                <w:b/>
                <w:bCs/>
                <w:color w:val="1C2833"/>
                <w:sz w:val="17"/>
                <w:szCs w:val="17"/>
              </w:rPr>
              <w:t xml:space="preserve">Document: </w:t>
            </w:r>
            <w:r>
              <w:rPr>
                <w:rFonts w:ascii="Arial" w:cs="Arial" w:eastAsia="Arial" w:hAnsi="Arial"/>
                <w:i/>
                <w:iCs/>
                <w:color w:val="1A5276"/>
                <w:sz w:val="17"/>
                <w:szCs w:val="17"/>
              </w:rPr>
              <w:t xml:space="preserve">lia-analytics-acme-2025.docx</w:t>
            </w:r>
          </w:p>
        </w:tc>
      </w:tr>
      <w:tr>
        <w:tc>
          <w:tcPr>
            <w:tcW w:type="dxa" w:w="4680"/>
            <w:tcBorders>
              <w:top w:val="none" w:color="FFFFFF" w:sz="0"/>
              <w:left w:val="none" w:color="FFFFFF" w:sz="0"/>
              <w:bottom w:val="none" w:color="FFFFFF" w:sz="0"/>
              <w:right w:val="none" w:color="FFFFFF" w:sz="0"/>
            </w:tcBorders>
            <w:shd w:fill="FADBD8" w:val="clear"/>
            <w:tcMar>
              <w:top w:type="dxa" w:w="60"/>
              <w:left w:type="dxa" w:w="140"/>
              <w:bottom w:type="dxa" w:w="40"/>
              <w:right w:type="dxa" w:w="140"/>
            </w:tcMar>
          </w:tcPr>
          <w:p>
            <w:r>
              <w:rPr>
                <w:rFonts w:ascii="Arial" w:cs="Arial" w:eastAsia="Arial" w:hAnsi="Arial"/>
                <w:b/>
                <w:bCs/>
                <w:color w:val="C0392B"/>
                <w:sz w:val="18"/>
                <w:szCs w:val="18"/>
              </w:rPr>
              <w:t xml:space="preserve">What's wrong</w:t>
            </w:r>
          </w:p>
        </w:tc>
        <w:tc>
          <w:tcPr>
            <w:tcW w:type="dxa" w:w="4680"/>
            <w:tcBorders>
              <w:top w:val="none" w:color="FFFFFF" w:sz="0"/>
              <w:left w:val="none" w:color="FFFFFF" w:sz="0"/>
              <w:bottom w:val="none" w:color="FFFFFF" w:sz="0"/>
              <w:right w:val="none" w:color="FFFFFF" w:sz="0"/>
            </w:tcBorders>
            <w:shd w:fill="D5F5E3" w:val="clear"/>
            <w:tcMar>
              <w:top w:type="dxa" w:w="60"/>
              <w:left w:type="dxa" w:w="140"/>
              <w:bottom w:type="dxa" w:w="40"/>
              <w:right w:type="dxa" w:w="140"/>
            </w:tcMar>
          </w:tcPr>
          <w:p>
            <w:r>
              <w:rPr>
                <w:rFonts w:ascii="Arial" w:cs="Arial" w:eastAsia="Arial" w:hAnsi="Arial"/>
                <w:b/>
                <w:bCs/>
                <w:color w:val="1E8449"/>
                <w:sz w:val="18"/>
                <w:szCs w:val="18"/>
              </w:rPr>
              <w:t xml:space="preserve">What to do</w:t>
            </w:r>
          </w:p>
        </w:tc>
      </w:tr>
      <w:tr>
        <w:tc>
          <w:tcPr>
            <w:tcW w:type="dxa" w:w="4680"/>
            <w:tcBorders>
              <w:top w:val="none" w:color="FFFFFF" w:sz="0"/>
              <w:left w:val="none" w:color="FFFFFF" w:sz="0"/>
              <w:bottom w:val="single" w:color="C0392B" w:sz="1"/>
              <w:right w:val="single" w:color="AAAAAA" w:sz="1"/>
            </w:tcBorders>
            <w:shd w:fill="FADBD8"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C0392B"/>
                <w:sz w:val="17"/>
                <w:szCs w:val="17"/>
              </w:rPr>
              <w:t xml:space="preserve">No lawful basis documented: </w:t>
            </w:r>
            <w:r>
              <w:rPr>
                <w:rFonts w:ascii="Arial" w:cs="Arial" w:eastAsia="Arial" w:hAnsi="Arial"/>
                <w:color w:val="C0392B"/>
                <w:sz w:val="17"/>
                <w:szCs w:val="17"/>
              </w:rPr>
              <w:t xml:space="preserve">Your app collects name, email, phone, and health status but has no written record of why you're allowed to collect each one. Every processing activity needs a documented legal reason — without one, all collection is technically unlawful.</w:t>
            </w:r>
          </w:p>
          <w:p>
            <w:pPr>
              <w:pStyle w:val="ListParagraph"/>
              <w:numPr>
                <w:ilvl w:val="0"/>
                <w:numId w:val="2"/>
              </w:numPr>
              <w:spacing w:after="80"/>
            </w:pPr>
            <w:r>
              <w:rPr>
                <w:rFonts w:ascii="Arial" w:cs="Arial" w:eastAsia="Arial" w:hAnsi="Arial"/>
                <w:b/>
                <w:bCs/>
                <w:color w:val="C0392B"/>
                <w:sz w:val="17"/>
                <w:szCs w:val="17"/>
              </w:rPr>
              <w:t xml:space="preserve">marketing_opt_in defaults to true: </w:t>
            </w:r>
            <w:r>
              <w:rPr>
                <w:rFonts w:ascii="Arial" w:cs="Arial" w:eastAsia="Arial" w:hAnsi="Arial"/>
                <w:color w:val="C0392B"/>
                <w:sz w:val="17"/>
                <w:szCs w:val="17"/>
              </w:rPr>
              <w:t xml:space="preserve">New users are enrolled in marketing emails automatically unless they untick a box. Under GDPR, consent must be an active opt-in — a pre-ticked box is not valid consent.</w:t>
            </w:r>
          </w:p>
          <w:p>
            <w:pPr>
              <w:pStyle w:val="ListParagraph"/>
              <w:numPr>
                <w:ilvl w:val="0"/>
                <w:numId w:val="2"/>
              </w:numPr>
              <w:spacing w:after="80"/>
            </w:pPr>
            <w:r>
              <w:rPr>
                <w:rFonts w:ascii="Arial" w:cs="Arial" w:eastAsia="Arial" w:hAnsi="Arial"/>
                <w:b/>
                <w:bCs/>
                <w:color w:val="C0392B"/>
                <w:sz w:val="17"/>
                <w:szCs w:val="17"/>
              </w:rPr>
              <w:t xml:space="preserve">No consent timestamp stored: </w:t>
            </w:r>
            <w:r>
              <w:rPr>
                <w:rFonts w:ascii="Arial" w:cs="Arial" w:eastAsia="Arial" w:hAnsi="Arial"/>
                <w:color w:val="C0392B"/>
                <w:sz w:val="17"/>
                <w:szCs w:val="17"/>
              </w:rPr>
              <w:t xml:space="preserve">There is no record of when consent was given, which version of the privacy policy the user saw, or from which IP address. Without this, you cannot prove consent to a regulator.</w:t>
            </w:r>
          </w:p>
        </w:tc>
        <w:tc>
          <w:tcPr>
            <w:tcW w:type="dxa" w:w="4680"/>
            <w:tcBorders>
              <w:top w:val="none" w:color="FFFFFF" w:sz="0"/>
              <w:left w:val="none" w:color="FFFFFF" w:sz="0"/>
              <w:bottom w:val="single" w:color="1E8449" w:sz="1"/>
              <w:right w:val="none" w:color="FFFFFF" w:sz="0"/>
            </w:tcBorders>
            <w:shd w:fill="D5F5E3"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1E8449"/>
                <w:sz w:val="17"/>
                <w:szCs w:val="17"/>
              </w:rPr>
              <w:t xml:space="preserve">Document a lawful basis: </w:t>
            </w:r>
            <w:r>
              <w:rPr>
                <w:rFonts w:ascii="Arial" w:cs="Arial" w:eastAsia="Arial" w:hAnsi="Arial"/>
                <w:color w:val="1E8449"/>
                <w:sz w:val="17"/>
                <w:szCs w:val="17"/>
              </w:rPr>
              <w:t xml:space="preserve">Ask your DPO to map each data type (name, email, health_status) to one of: consent, contract, legal obligation, or legitimate interest. Health data requires explicit consent under Art. 9 — document this separately.</w:t>
            </w:r>
          </w:p>
          <w:p>
            <w:pPr>
              <w:pStyle w:val="ListParagraph"/>
              <w:numPr>
                <w:ilvl w:val="0"/>
                <w:numId w:val="2"/>
              </w:numPr>
              <w:spacing w:after="80"/>
            </w:pPr>
            <w:r>
              <w:rPr>
                <w:rFonts w:ascii="Arial" w:cs="Arial" w:eastAsia="Arial" w:hAnsi="Arial"/>
                <w:b/>
                <w:bCs/>
                <w:color w:val="1E8449"/>
                <w:sz w:val="17"/>
                <w:szCs w:val="17"/>
              </w:rPr>
              <w:t xml:space="preserve">Flip the marketing default: </w:t>
            </w:r>
            <w:r>
              <w:rPr>
                <w:rFonts w:ascii="Arial" w:cs="Arial" w:eastAsia="Arial" w:hAnsi="Arial"/>
                <w:color w:val="1E8449"/>
                <w:sz w:val="17"/>
                <w:szCs w:val="17"/>
              </w:rPr>
              <w:t xml:space="preserve">Ask your engineer to change marketing_opt_in to default false and update the signup flow to an unticked checkbox. Run a one-time suppression of all users where opt-in was never explicitly confirmed.</w:t>
            </w:r>
          </w:p>
          <w:p>
            <w:pPr>
              <w:pStyle w:val="ListParagraph"/>
              <w:numPr>
                <w:ilvl w:val="0"/>
                <w:numId w:val="2"/>
              </w:numPr>
              <w:spacing w:after="80"/>
            </w:pPr>
            <w:r>
              <w:rPr>
                <w:rFonts w:ascii="Arial" w:cs="Arial" w:eastAsia="Arial" w:hAnsi="Arial"/>
                <w:b/>
                <w:bCs/>
                <w:color w:val="1E8449"/>
                <w:sz w:val="17"/>
                <w:szCs w:val="17"/>
              </w:rPr>
              <w:t xml:space="preserve">Store consent records: </w:t>
            </w:r>
            <w:r>
              <w:rPr>
                <w:rFonts w:ascii="Arial" w:cs="Arial" w:eastAsia="Arial" w:hAnsi="Arial"/>
                <w:color w:val="1E8449"/>
                <w:sz w:val="17"/>
                <w:szCs w:val="17"/>
              </w:rPr>
              <w:t xml:space="preserve">Ask your engineer to create a consent_records table: user_id, consent_type, timestamp, policy_version, ip_address. This is your evidence if a regulator asks.</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9360"/>
            <w:gridSpan w:val="2"/>
            <w:tcBorders>
              <w:top w:val="none" w:color="FFFFFF" w:sz="0"/>
              <w:left w:val="none" w:color="FFFFFF" w:sz="0"/>
              <w:bottom w:val="none" w:color="FFFFFF" w:sz="0"/>
              <w:right w:val="none" w:color="FFFFFF" w:sz="0"/>
            </w:tcBorders>
            <w:shd w:fill="1A3A5C" w:val="clear"/>
            <w:tcMar>
              <w:top w:type="dxa" w:w="100"/>
              <w:left w:type="dxa" w:w="140"/>
              <w:bottom w:type="dxa" w:w="100"/>
              <w:right w:type="dxa" w:w="140"/>
            </w:tcMar>
          </w:tcPr>
          <w:p>
            <w:r>
              <w:rPr>
                <w:rFonts w:ascii="Arial" w:cs="Arial" w:eastAsia="Arial" w:hAnsi="Arial"/>
                <w:b/>
                <w:bCs/>
                <w:color w:val="FFFFFF"/>
                <w:sz w:val="22"/>
                <w:szCs w:val="22"/>
              </w:rPr>
              <w:t xml:space="preserve">2. Cookie &amp; ePrivacy compliance</w:t>
            </w:r>
          </w:p>
        </w:tc>
      </w:tr>
      <w:tr>
        <w:tc>
          <w:tcPr>
            <w:tcW w:type="dxa" w:w="9360"/>
            <w:gridSpan w:val="2"/>
            <w:tcBorders>
              <w:top w:val="none" w:color="FFFFFF" w:sz="0"/>
              <w:left w:val="none" w:color="FFFFFF" w:sz="0"/>
              <w:bottom w:val="single" w:color="AAAAAA" w:sz="1"/>
              <w:right w:val="none" w:color="FFFFFF" w:sz="0"/>
            </w:tcBorders>
            <w:shd w:fill="EBF5FB" w:val="clear"/>
            <w:tcMar>
              <w:top w:type="dxa" w:w="60"/>
              <w:left w:type="dxa" w:w="140"/>
              <w:bottom w:type="dxa" w:w="60"/>
              <w:right w:type="dxa" w:w="140"/>
            </w:tcMar>
          </w:tcPr>
          <w:p>
            <w:r>
              <w:rPr>
                <w:rFonts w:ascii="Arial" w:cs="Arial" w:eastAsia="Arial" w:hAnsi="Arial"/>
                <w:b/>
                <w:bCs/>
                <w:color w:val="1C2833"/>
                <w:sz w:val="17"/>
                <w:szCs w:val="17"/>
              </w:rPr>
              <w:t xml:space="preserve">Owner: </w:t>
            </w:r>
            <w:r>
              <w:rPr>
                <w:rFonts w:ascii="Arial" w:cs="Arial" w:eastAsia="Arial" w:hAnsi="Arial"/>
                <w:color w:val="1C2833"/>
                <w:sz w:val="17"/>
                <w:szCs w:val="17"/>
              </w:rPr>
              <w:t xml:space="preserve">Engineering   </w:t>
            </w:r>
            <w:r>
              <w:rPr>
                <w:rFonts w:ascii="Arial" w:cs="Arial" w:eastAsia="Arial" w:hAnsi="Arial"/>
                <w:b/>
                <w:bCs/>
                <w:color w:val="1C2833"/>
                <w:sz w:val="17"/>
                <w:szCs w:val="17"/>
              </w:rPr>
              <w:t xml:space="preserve">Severity: </w:t>
            </w:r>
            <w:r>
              <w:rPr>
                <w:rFonts w:ascii="Arial" w:cs="Arial" w:eastAsia="Arial" w:hAnsi="Arial"/>
                <w:b/>
                <w:bCs/>
                <w:color w:val="C0392B"/>
                <w:sz w:val="17"/>
                <w:szCs w:val="17"/>
              </w:rPr>
              <w:t xml:space="preserve">🔴 Critical   </w:t>
            </w:r>
            <w:r>
              <w:rPr>
                <w:rFonts w:ascii="Arial" w:cs="Arial" w:eastAsia="Arial" w:hAnsi="Arial"/>
                <w:b/>
                <w:bCs/>
                <w:color w:val="1C2833"/>
                <w:sz w:val="17"/>
                <w:szCs w:val="17"/>
              </w:rPr>
              <w:t xml:space="preserve">Articles: </w:t>
            </w:r>
            <w:r>
              <w:rPr>
                <w:rFonts w:ascii="Arial" w:cs="Arial" w:eastAsia="Arial" w:hAnsi="Arial"/>
                <w:i/>
                <w:iCs/>
                <w:color w:val="5D6D7E"/>
                <w:sz w:val="17"/>
                <w:szCs w:val="17"/>
              </w:rPr>
              <w:t xml:space="preserve">ePrivacy Directive, Art. 95   </w:t>
            </w:r>
            <w:r>
              <w:rPr>
                <w:rFonts w:ascii="Arial" w:cs="Arial" w:eastAsia="Arial" w:hAnsi="Arial"/>
                <w:b/>
                <w:bCs/>
                <w:color w:val="1C2833"/>
                <w:sz w:val="17"/>
                <w:szCs w:val="17"/>
              </w:rPr>
              <w:t xml:space="preserve">Document: </w:t>
            </w:r>
            <w:r>
              <w:rPr>
                <w:rFonts w:ascii="Arial" w:cs="Arial" w:eastAsia="Arial" w:hAnsi="Arial"/>
                <w:i/>
                <w:iCs/>
                <w:color w:val="1A5276"/>
                <w:sz w:val="17"/>
                <w:szCs w:val="17"/>
              </w:rPr>
              <w:t xml:space="preserve">— (CMP integration required)</w:t>
            </w:r>
          </w:p>
        </w:tc>
      </w:tr>
      <w:tr>
        <w:tc>
          <w:tcPr>
            <w:tcW w:type="dxa" w:w="4680"/>
            <w:tcBorders>
              <w:top w:val="none" w:color="FFFFFF" w:sz="0"/>
              <w:left w:val="none" w:color="FFFFFF" w:sz="0"/>
              <w:bottom w:val="none" w:color="FFFFFF" w:sz="0"/>
              <w:right w:val="none" w:color="FFFFFF" w:sz="0"/>
            </w:tcBorders>
            <w:shd w:fill="FADBD8" w:val="clear"/>
            <w:tcMar>
              <w:top w:type="dxa" w:w="60"/>
              <w:left w:type="dxa" w:w="140"/>
              <w:bottom w:type="dxa" w:w="40"/>
              <w:right w:type="dxa" w:w="140"/>
            </w:tcMar>
          </w:tcPr>
          <w:p>
            <w:r>
              <w:rPr>
                <w:rFonts w:ascii="Arial" w:cs="Arial" w:eastAsia="Arial" w:hAnsi="Arial"/>
                <w:b/>
                <w:bCs/>
                <w:color w:val="C0392B"/>
                <w:sz w:val="18"/>
                <w:szCs w:val="18"/>
              </w:rPr>
              <w:t xml:space="preserve">What's wrong</w:t>
            </w:r>
          </w:p>
        </w:tc>
        <w:tc>
          <w:tcPr>
            <w:tcW w:type="dxa" w:w="4680"/>
            <w:tcBorders>
              <w:top w:val="none" w:color="FFFFFF" w:sz="0"/>
              <w:left w:val="none" w:color="FFFFFF" w:sz="0"/>
              <w:bottom w:val="none" w:color="FFFFFF" w:sz="0"/>
              <w:right w:val="none" w:color="FFFFFF" w:sz="0"/>
            </w:tcBorders>
            <w:shd w:fill="D5F5E3" w:val="clear"/>
            <w:tcMar>
              <w:top w:type="dxa" w:w="60"/>
              <w:left w:type="dxa" w:w="140"/>
              <w:bottom w:type="dxa" w:w="40"/>
              <w:right w:type="dxa" w:w="140"/>
            </w:tcMar>
          </w:tcPr>
          <w:p>
            <w:r>
              <w:rPr>
                <w:rFonts w:ascii="Arial" w:cs="Arial" w:eastAsia="Arial" w:hAnsi="Arial"/>
                <w:b/>
                <w:bCs/>
                <w:color w:val="1E8449"/>
                <w:sz w:val="18"/>
                <w:szCs w:val="18"/>
              </w:rPr>
              <w:t xml:space="preserve">What to do</w:t>
            </w:r>
          </w:p>
        </w:tc>
      </w:tr>
      <w:tr>
        <w:tc>
          <w:tcPr>
            <w:tcW w:type="dxa" w:w="4680"/>
            <w:tcBorders>
              <w:top w:val="none" w:color="FFFFFF" w:sz="0"/>
              <w:left w:val="none" w:color="FFFFFF" w:sz="0"/>
              <w:bottom w:val="single" w:color="C0392B" w:sz="1"/>
              <w:right w:val="single" w:color="AAAAAA" w:sz="1"/>
            </w:tcBorders>
            <w:shd w:fill="FADBD8"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C0392B"/>
                <w:sz w:val="17"/>
                <w:szCs w:val="17"/>
              </w:rPr>
              <w:t xml:space="preserve">Google Analytics fires before consent: </w:t>
            </w:r>
            <w:r>
              <w:rPr>
                <w:rFonts w:ascii="Arial" w:cs="Arial" w:eastAsia="Arial" w:hAnsi="Arial"/>
                <w:color w:val="C0392B"/>
                <w:sz w:val="17"/>
                <w:szCs w:val="17"/>
              </w:rPr>
              <w:t xml:space="preserve">The gtag() call in your main layout loads on every page open, before the user has agreed to anything. EU cookie law requires permission before analytics cookies are placed.</w:t>
            </w:r>
          </w:p>
          <w:p>
            <w:pPr>
              <w:pStyle w:val="ListParagraph"/>
              <w:numPr>
                <w:ilvl w:val="0"/>
                <w:numId w:val="2"/>
              </w:numPr>
              <w:spacing w:after="80"/>
            </w:pPr>
            <w:r>
              <w:rPr>
                <w:rFonts w:ascii="Arial" w:cs="Arial" w:eastAsia="Arial" w:hAnsi="Arial"/>
                <w:b/>
                <w:bCs/>
                <w:color w:val="C0392B"/>
                <w:sz w:val="17"/>
                <w:szCs w:val="17"/>
              </w:rPr>
              <w:t xml:space="preserve">Meta Pixel fires before consent: </w:t>
            </w:r>
            <w:r>
              <w:rPr>
                <w:rFonts w:ascii="Arial" w:cs="Arial" w:eastAsia="Arial" w:hAnsi="Arial"/>
                <w:color w:val="C0392B"/>
                <w:sz w:val="17"/>
                <w:szCs w:val="17"/>
              </w:rPr>
              <w:t xml:space="preserve">The fbq('init') call runs on every page load. Meta Pixel places advertising and tracking cookies — these require explicit opt-in, not just a notice.</w:t>
            </w:r>
          </w:p>
          <w:p>
            <w:pPr>
              <w:pStyle w:val="ListParagraph"/>
              <w:numPr>
                <w:ilvl w:val="0"/>
                <w:numId w:val="2"/>
              </w:numPr>
              <w:spacing w:after="80"/>
            </w:pPr>
            <w:r>
              <w:rPr>
                <w:rFonts w:ascii="Arial" w:cs="Arial" w:eastAsia="Arial" w:hAnsi="Arial"/>
                <w:b/>
                <w:bCs/>
                <w:color w:val="C0392B"/>
                <w:sz w:val="17"/>
                <w:szCs w:val="17"/>
              </w:rPr>
              <w:t xml:space="preserve">No cookie banner: </w:t>
            </w:r>
            <w:r>
              <w:rPr>
                <w:rFonts w:ascii="Arial" w:cs="Arial" w:eastAsia="Arial" w:hAnsi="Arial"/>
                <w:color w:val="C0392B"/>
                <w:sz w:val="17"/>
                <w:szCs w:val="17"/>
              </w:rPr>
              <w:t xml:space="preserve">There is no consent management platform (CMP) in the codebase. Users are tracked from their first visit with no opportunity to refuse.</w:t>
            </w:r>
          </w:p>
        </w:tc>
        <w:tc>
          <w:tcPr>
            <w:tcW w:type="dxa" w:w="4680"/>
            <w:tcBorders>
              <w:top w:val="none" w:color="FFFFFF" w:sz="0"/>
              <w:left w:val="none" w:color="FFFFFF" w:sz="0"/>
              <w:bottom w:val="single" w:color="1E8449" w:sz="1"/>
              <w:right w:val="none" w:color="FFFFFF" w:sz="0"/>
            </w:tcBorders>
            <w:shd w:fill="D5F5E3"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1E8449"/>
                <w:sz w:val="17"/>
                <w:szCs w:val="17"/>
              </w:rPr>
              <w:t xml:space="preserve">Install a CMP: </w:t>
            </w:r>
            <w:r>
              <w:rPr>
                <w:rFonts w:ascii="Arial" w:cs="Arial" w:eastAsia="Arial" w:hAnsi="Arial"/>
                <w:color w:val="1E8449"/>
                <w:sz w:val="17"/>
                <w:szCs w:val="17"/>
              </w:rPr>
              <w:t xml:space="preserve">Ask your engineer to integrate CookieYes, Cookiebot, or OneTrust. The CMP fires a banner on first visit and only enables analytics/ad SDKs after the user accepts.</w:t>
            </w:r>
          </w:p>
          <w:p>
            <w:pPr>
              <w:pStyle w:val="ListParagraph"/>
              <w:numPr>
                <w:ilvl w:val="0"/>
                <w:numId w:val="2"/>
              </w:numPr>
              <w:spacing w:after="80"/>
            </w:pPr>
            <w:r>
              <w:rPr>
                <w:rFonts w:ascii="Arial" w:cs="Arial" w:eastAsia="Arial" w:hAnsi="Arial"/>
                <w:b/>
                <w:bCs/>
                <w:color w:val="1E8449"/>
                <w:sz w:val="17"/>
                <w:szCs w:val="17"/>
              </w:rPr>
              <w:t xml:space="preserve">Gate gtag and fbq behind consent: </w:t>
            </w:r>
            <w:r>
              <w:rPr>
                <w:rFonts w:ascii="Arial" w:cs="Arial" w:eastAsia="Arial" w:hAnsi="Arial"/>
                <w:color w:val="1E8449"/>
                <w:sz w:val="17"/>
                <w:szCs w:val="17"/>
              </w:rPr>
              <w:t xml:space="preserve">Wrap both calls in an if (cookieConsent.analytics) and if (cookieConsent.marketing) check. The CMP sets these flags after the user chooses.</w:t>
            </w:r>
          </w:p>
          <w:p>
            <w:pPr>
              <w:pStyle w:val="ListParagraph"/>
              <w:numPr>
                <w:ilvl w:val="0"/>
                <w:numId w:val="2"/>
              </w:numPr>
              <w:spacing w:after="80"/>
            </w:pPr>
            <w:r>
              <w:rPr>
                <w:rFonts w:ascii="Arial" w:cs="Arial" w:eastAsia="Arial" w:hAnsi="Arial"/>
                <w:b/>
                <w:bCs/>
                <w:color w:val="1E8449"/>
                <w:sz w:val="17"/>
                <w:szCs w:val="17"/>
              </w:rPr>
              <w:t xml:space="preserve">Equal reject button: </w:t>
            </w:r>
            <w:r>
              <w:rPr>
                <w:rFonts w:ascii="Arial" w:cs="Arial" w:eastAsia="Arial" w:hAnsi="Arial"/>
                <w:color w:val="1E8449"/>
                <w:sz w:val="17"/>
                <w:szCs w:val="17"/>
              </w:rPr>
              <w:t xml:space="preserve">The banner must have a 'Reject all' button at the same visual prominence as 'Accept all'. This is required by CNIL, ICO, and most EU DPAs.</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9360"/>
            <w:gridSpan w:val="2"/>
            <w:tcBorders>
              <w:top w:val="none" w:color="FFFFFF" w:sz="0"/>
              <w:left w:val="none" w:color="FFFFFF" w:sz="0"/>
              <w:bottom w:val="none" w:color="FFFFFF" w:sz="0"/>
              <w:right w:val="none" w:color="FFFFFF" w:sz="0"/>
            </w:tcBorders>
            <w:shd w:fill="1A3A5C" w:val="clear"/>
            <w:tcMar>
              <w:top w:type="dxa" w:w="100"/>
              <w:left w:type="dxa" w:w="140"/>
              <w:bottom w:type="dxa" w:w="100"/>
              <w:right w:type="dxa" w:w="140"/>
            </w:tcMar>
          </w:tcPr>
          <w:p>
            <w:r>
              <w:rPr>
                <w:rFonts w:ascii="Arial" w:cs="Arial" w:eastAsia="Arial" w:hAnsi="Arial"/>
                <w:b/>
                <w:bCs/>
                <w:color w:val="FFFFFF"/>
                <w:sz w:val="22"/>
                <w:szCs w:val="22"/>
              </w:rPr>
              <w:t xml:space="preserve">3. Transparency &amp; privacy notice</w:t>
            </w:r>
          </w:p>
        </w:tc>
      </w:tr>
      <w:tr>
        <w:tc>
          <w:tcPr>
            <w:tcW w:type="dxa" w:w="9360"/>
            <w:gridSpan w:val="2"/>
            <w:tcBorders>
              <w:top w:val="none" w:color="FFFFFF" w:sz="0"/>
              <w:left w:val="none" w:color="FFFFFF" w:sz="0"/>
              <w:bottom w:val="single" w:color="AAAAAA" w:sz="1"/>
              <w:right w:val="none" w:color="FFFFFF" w:sz="0"/>
            </w:tcBorders>
            <w:shd w:fill="EBF5FB" w:val="clear"/>
            <w:tcMar>
              <w:top w:type="dxa" w:w="60"/>
              <w:left w:type="dxa" w:w="140"/>
              <w:bottom w:type="dxa" w:w="60"/>
              <w:right w:type="dxa" w:w="140"/>
            </w:tcMar>
          </w:tcPr>
          <w:p>
            <w:r>
              <w:rPr>
                <w:rFonts w:ascii="Arial" w:cs="Arial" w:eastAsia="Arial" w:hAnsi="Arial"/>
                <w:b/>
                <w:bCs/>
                <w:color w:val="1C2833"/>
                <w:sz w:val="17"/>
                <w:szCs w:val="17"/>
              </w:rPr>
              <w:t xml:space="preserve">Owner: </w:t>
            </w:r>
            <w:r>
              <w:rPr>
                <w:rFonts w:ascii="Arial" w:cs="Arial" w:eastAsia="Arial" w:hAnsi="Arial"/>
                <w:color w:val="1C2833"/>
                <w:sz w:val="17"/>
                <w:szCs w:val="17"/>
              </w:rPr>
              <w:t xml:space="preserve">Legal   </w:t>
            </w:r>
            <w:r>
              <w:rPr>
                <w:rFonts w:ascii="Arial" w:cs="Arial" w:eastAsia="Arial" w:hAnsi="Arial"/>
                <w:b/>
                <w:bCs/>
                <w:color w:val="1C2833"/>
                <w:sz w:val="17"/>
                <w:szCs w:val="17"/>
              </w:rPr>
              <w:t xml:space="preserve">Severity: </w:t>
            </w:r>
            <w:r>
              <w:rPr>
                <w:rFonts w:ascii="Arial" w:cs="Arial" w:eastAsia="Arial" w:hAnsi="Arial"/>
                <w:b/>
                <w:bCs/>
                <w:color w:val="E67E22"/>
                <w:sz w:val="17"/>
                <w:szCs w:val="17"/>
              </w:rPr>
              <w:t xml:space="preserve">🟠 High   </w:t>
            </w:r>
            <w:r>
              <w:rPr>
                <w:rFonts w:ascii="Arial" w:cs="Arial" w:eastAsia="Arial" w:hAnsi="Arial"/>
                <w:b/>
                <w:bCs/>
                <w:color w:val="1C2833"/>
                <w:sz w:val="17"/>
                <w:szCs w:val="17"/>
              </w:rPr>
              <w:t xml:space="preserve">Articles: </w:t>
            </w:r>
            <w:r>
              <w:rPr>
                <w:rFonts w:ascii="Arial" w:cs="Arial" w:eastAsia="Arial" w:hAnsi="Arial"/>
                <w:i/>
                <w:iCs/>
                <w:color w:val="5D6D7E"/>
                <w:sz w:val="17"/>
                <w:szCs w:val="17"/>
              </w:rPr>
              <w:t xml:space="preserve">Arts. 12, 13, 14, 77   </w:t>
            </w:r>
            <w:r>
              <w:rPr>
                <w:rFonts w:ascii="Arial" w:cs="Arial" w:eastAsia="Arial" w:hAnsi="Arial"/>
                <w:b/>
                <w:bCs/>
                <w:color w:val="1C2833"/>
                <w:sz w:val="17"/>
                <w:szCs w:val="17"/>
              </w:rPr>
              <w:t xml:space="preserve">Document: </w:t>
            </w:r>
            <w:r>
              <w:rPr>
                <w:rFonts w:ascii="Arial" w:cs="Arial" w:eastAsia="Arial" w:hAnsi="Arial"/>
                <w:i/>
                <w:iCs/>
                <w:color w:val="1A5276"/>
                <w:sz w:val="17"/>
                <w:szCs w:val="17"/>
              </w:rPr>
              <w:t xml:space="preserve">— (privacy policy redraft required)</w:t>
            </w:r>
          </w:p>
        </w:tc>
      </w:tr>
      <w:tr>
        <w:tc>
          <w:tcPr>
            <w:tcW w:type="dxa" w:w="4680"/>
            <w:tcBorders>
              <w:top w:val="none" w:color="FFFFFF" w:sz="0"/>
              <w:left w:val="none" w:color="FFFFFF" w:sz="0"/>
              <w:bottom w:val="none" w:color="FFFFFF" w:sz="0"/>
              <w:right w:val="none" w:color="FFFFFF" w:sz="0"/>
            </w:tcBorders>
            <w:shd w:fill="FADBD8" w:val="clear"/>
            <w:tcMar>
              <w:top w:type="dxa" w:w="60"/>
              <w:left w:type="dxa" w:w="140"/>
              <w:bottom w:type="dxa" w:w="40"/>
              <w:right w:type="dxa" w:w="140"/>
            </w:tcMar>
          </w:tcPr>
          <w:p>
            <w:r>
              <w:rPr>
                <w:rFonts w:ascii="Arial" w:cs="Arial" w:eastAsia="Arial" w:hAnsi="Arial"/>
                <w:b/>
                <w:bCs/>
                <w:color w:val="C0392B"/>
                <w:sz w:val="18"/>
                <w:szCs w:val="18"/>
              </w:rPr>
              <w:t xml:space="preserve">What's wrong</w:t>
            </w:r>
          </w:p>
        </w:tc>
        <w:tc>
          <w:tcPr>
            <w:tcW w:type="dxa" w:w="4680"/>
            <w:tcBorders>
              <w:top w:val="none" w:color="FFFFFF" w:sz="0"/>
              <w:left w:val="none" w:color="FFFFFF" w:sz="0"/>
              <w:bottom w:val="none" w:color="FFFFFF" w:sz="0"/>
              <w:right w:val="none" w:color="FFFFFF" w:sz="0"/>
            </w:tcBorders>
            <w:shd w:fill="D5F5E3" w:val="clear"/>
            <w:tcMar>
              <w:top w:type="dxa" w:w="60"/>
              <w:left w:type="dxa" w:w="140"/>
              <w:bottom w:type="dxa" w:w="40"/>
              <w:right w:type="dxa" w:w="140"/>
            </w:tcMar>
          </w:tcPr>
          <w:p>
            <w:r>
              <w:rPr>
                <w:rFonts w:ascii="Arial" w:cs="Arial" w:eastAsia="Arial" w:hAnsi="Arial"/>
                <w:b/>
                <w:bCs/>
                <w:color w:val="1E8449"/>
                <w:sz w:val="18"/>
                <w:szCs w:val="18"/>
              </w:rPr>
              <w:t xml:space="preserve">What to do</w:t>
            </w:r>
          </w:p>
        </w:tc>
      </w:tr>
      <w:tr>
        <w:tc>
          <w:tcPr>
            <w:tcW w:type="dxa" w:w="4680"/>
            <w:tcBorders>
              <w:top w:val="none" w:color="FFFFFF" w:sz="0"/>
              <w:left w:val="none" w:color="FFFFFF" w:sz="0"/>
              <w:bottom w:val="single" w:color="C0392B" w:sz="1"/>
              <w:right w:val="single" w:color="AAAAAA" w:sz="1"/>
            </w:tcBorders>
            <w:shd w:fill="FADBD8"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C0392B"/>
                <w:sz w:val="17"/>
                <w:szCs w:val="17"/>
              </w:rPr>
              <w:t xml:space="preserve">DPO contact missing: </w:t>
            </w:r>
            <w:r>
              <w:rPr>
                <w:rFonts w:ascii="Arial" w:cs="Arial" w:eastAsia="Arial" w:hAnsi="Arial"/>
                <w:color w:val="C0392B"/>
                <w:sz w:val="17"/>
                <w:szCs w:val="17"/>
              </w:rPr>
              <w:t xml:space="preserve">Your privacy policy has no Data Protection Officer contact. Under Arts. 13 and 37, users must be told who to contact about their personal data. Regulators check this as a first step in any investigation.</w:t>
            </w:r>
          </w:p>
          <w:p>
            <w:pPr>
              <w:pStyle w:val="ListParagraph"/>
              <w:numPr>
                <w:ilvl w:val="0"/>
                <w:numId w:val="2"/>
              </w:numPr>
              <w:spacing w:after="80"/>
            </w:pPr>
            <w:r>
              <w:rPr>
                <w:rFonts w:ascii="Arial" w:cs="Arial" w:eastAsia="Arial" w:hAnsi="Arial"/>
                <w:b/>
                <w:bCs/>
                <w:color w:val="C0392B"/>
                <w:sz w:val="17"/>
                <w:szCs w:val="17"/>
              </w:rPr>
              <w:t xml:space="preserve">Retention periods not stated: </w:t>
            </w:r>
            <w:r>
              <w:rPr>
                <w:rFonts w:ascii="Arial" w:cs="Arial" w:eastAsia="Arial" w:hAnsi="Arial"/>
                <w:color w:val="C0392B"/>
                <w:sz w:val="17"/>
                <w:szCs w:val="17"/>
              </w:rPr>
              <w:t xml:space="preserve">The policy does not specify how long any category of data is kept. Art. 13(2)(a) requires retention periods to be communicated at the point of collection — not buried in a separate document or omitted entirely.</w:t>
            </w:r>
          </w:p>
          <w:p>
            <w:pPr>
              <w:pStyle w:val="ListParagraph"/>
              <w:numPr>
                <w:ilvl w:val="0"/>
                <w:numId w:val="2"/>
              </w:numPr>
              <w:spacing w:after="80"/>
            </w:pPr>
            <w:r>
              <w:rPr>
                <w:rFonts w:ascii="Arial" w:cs="Arial" w:eastAsia="Arial" w:hAnsi="Arial"/>
                <w:b/>
                <w:bCs/>
                <w:color w:val="C0392B"/>
                <w:sz w:val="17"/>
                <w:szCs w:val="17"/>
              </w:rPr>
              <w:t xml:space="preserve">Right to complain not mentioned: </w:t>
            </w:r>
            <w:r>
              <w:rPr>
                <w:rFonts w:ascii="Arial" w:cs="Arial" w:eastAsia="Arial" w:hAnsi="Arial"/>
                <w:color w:val="C0392B"/>
                <w:sz w:val="17"/>
                <w:szCs w:val="17"/>
              </w:rPr>
              <w:t xml:space="preserve">There is no reference to the user's right to lodge a complaint with the ICO. Art. 77 requires this in every privacy notice — the ICO flags its absence in almost every enforcement action it takes.</w:t>
            </w:r>
          </w:p>
        </w:tc>
        <w:tc>
          <w:tcPr>
            <w:tcW w:type="dxa" w:w="4680"/>
            <w:tcBorders>
              <w:top w:val="none" w:color="FFFFFF" w:sz="0"/>
              <w:left w:val="none" w:color="FFFFFF" w:sz="0"/>
              <w:bottom w:val="single" w:color="1E8449" w:sz="1"/>
              <w:right w:val="none" w:color="FFFFFF" w:sz="0"/>
            </w:tcBorders>
            <w:shd w:fill="D5F5E3"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1E8449"/>
                <w:sz w:val="17"/>
                <w:szCs w:val="17"/>
              </w:rPr>
              <w:t xml:space="preserve">Add DPO or privacy contact: </w:t>
            </w:r>
            <w:r>
              <w:rPr>
                <w:rFonts w:ascii="Arial" w:cs="Arial" w:eastAsia="Arial" w:hAnsi="Arial"/>
                <w:color w:val="1E8449"/>
                <w:sz w:val="17"/>
                <w:szCs w:val="17"/>
              </w:rPr>
              <w:t xml:space="preserve">Ask your legal team to add a named contact or DPO email address to the privacy policy. If no DPO is appointed yet, a general privacy@ email with a named owner is acceptable for now.</w:t>
            </w:r>
          </w:p>
          <w:p>
            <w:pPr>
              <w:pStyle w:val="ListParagraph"/>
              <w:numPr>
                <w:ilvl w:val="0"/>
                <w:numId w:val="2"/>
              </w:numPr>
              <w:spacing w:after="80"/>
            </w:pPr>
            <w:r>
              <w:rPr>
                <w:rFonts w:ascii="Arial" w:cs="Arial" w:eastAsia="Arial" w:hAnsi="Arial"/>
                <w:b/>
                <w:bCs/>
                <w:color w:val="1E8449"/>
                <w:sz w:val="17"/>
                <w:szCs w:val="17"/>
              </w:rPr>
              <w:t xml:space="preserve">Add a retention schedule: </w:t>
            </w:r>
            <w:r>
              <w:rPr>
                <w:rFonts w:ascii="Arial" w:cs="Arial" w:eastAsia="Arial" w:hAnsi="Arial"/>
                <w:color w:val="1E8449"/>
                <w:sz w:val="17"/>
                <w:szCs w:val="17"/>
              </w:rPr>
              <w:t xml:space="preserve">Work with your DPO to define how long each data type is held (e.g. account data: deleted on closure; logs: 30 days; backups: 90 days). Add this as a table in the privacy policy.</w:t>
            </w:r>
          </w:p>
          <w:p>
            <w:pPr>
              <w:pStyle w:val="ListParagraph"/>
              <w:numPr>
                <w:ilvl w:val="0"/>
                <w:numId w:val="2"/>
              </w:numPr>
              <w:spacing w:after="80"/>
            </w:pPr>
            <w:r>
              <w:rPr>
                <w:rFonts w:ascii="Arial" w:cs="Arial" w:eastAsia="Arial" w:hAnsi="Arial"/>
                <w:b/>
                <w:bCs/>
                <w:color w:val="1E8449"/>
                <w:sz w:val="17"/>
                <w:szCs w:val="17"/>
              </w:rPr>
              <w:t xml:space="preserve">Add ICO complaint right: </w:t>
            </w:r>
            <w:r>
              <w:rPr>
                <w:rFonts w:ascii="Arial" w:cs="Arial" w:eastAsia="Arial" w:hAnsi="Arial"/>
                <w:color w:val="1E8449"/>
                <w:sz w:val="17"/>
                <w:szCs w:val="17"/>
              </w:rPr>
              <w:t xml:space="preserve">Add one sentence: 'You have the right to lodge a complaint with the Information Commissioner's Office (ICO) at ico.org.uk.' This is a one-line fix with zero technical work required.</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9360"/>
            <w:gridSpan w:val="2"/>
            <w:tcBorders>
              <w:top w:val="none" w:color="FFFFFF" w:sz="0"/>
              <w:left w:val="none" w:color="FFFFFF" w:sz="0"/>
              <w:bottom w:val="none" w:color="FFFFFF" w:sz="0"/>
              <w:right w:val="none" w:color="FFFFFF" w:sz="0"/>
            </w:tcBorders>
            <w:shd w:fill="1A3A5C" w:val="clear"/>
            <w:tcMar>
              <w:top w:type="dxa" w:w="100"/>
              <w:left w:type="dxa" w:w="140"/>
              <w:bottom w:type="dxa" w:w="100"/>
              <w:right w:type="dxa" w:w="140"/>
            </w:tcMar>
          </w:tcPr>
          <w:p>
            <w:r>
              <w:rPr>
                <w:rFonts w:ascii="Arial" w:cs="Arial" w:eastAsia="Arial" w:hAnsi="Arial"/>
                <w:b/>
                <w:bCs/>
                <w:color w:val="FFFFFF"/>
                <w:sz w:val="22"/>
                <w:szCs w:val="22"/>
              </w:rPr>
              <w:t xml:space="preserve">4. Special category &amp; criminal data</w:t>
            </w:r>
          </w:p>
        </w:tc>
      </w:tr>
      <w:tr>
        <w:tc>
          <w:tcPr>
            <w:tcW w:type="dxa" w:w="9360"/>
            <w:gridSpan w:val="2"/>
            <w:tcBorders>
              <w:top w:val="none" w:color="FFFFFF" w:sz="0"/>
              <w:left w:val="none" w:color="FFFFFF" w:sz="0"/>
              <w:bottom w:val="single" w:color="AAAAAA" w:sz="1"/>
              <w:right w:val="none" w:color="FFFFFF" w:sz="0"/>
            </w:tcBorders>
            <w:shd w:fill="EBF5FB" w:val="clear"/>
            <w:tcMar>
              <w:top w:type="dxa" w:w="60"/>
              <w:left w:type="dxa" w:w="140"/>
              <w:bottom w:type="dxa" w:w="60"/>
              <w:right w:type="dxa" w:w="140"/>
            </w:tcMar>
          </w:tcPr>
          <w:p>
            <w:r>
              <w:rPr>
                <w:rFonts w:ascii="Arial" w:cs="Arial" w:eastAsia="Arial" w:hAnsi="Arial"/>
                <w:b/>
                <w:bCs/>
                <w:color w:val="1C2833"/>
                <w:sz w:val="17"/>
                <w:szCs w:val="17"/>
              </w:rPr>
              <w:t xml:space="preserve">Owner: </w:t>
            </w:r>
            <w:r>
              <w:rPr>
                <w:rFonts w:ascii="Arial" w:cs="Arial" w:eastAsia="Arial" w:hAnsi="Arial"/>
                <w:color w:val="1C2833"/>
                <w:sz w:val="17"/>
                <w:szCs w:val="17"/>
              </w:rPr>
              <w:t xml:space="preserve">DPO   </w:t>
            </w:r>
            <w:r>
              <w:rPr>
                <w:rFonts w:ascii="Arial" w:cs="Arial" w:eastAsia="Arial" w:hAnsi="Arial"/>
                <w:b/>
                <w:bCs/>
                <w:color w:val="1C2833"/>
                <w:sz w:val="17"/>
                <w:szCs w:val="17"/>
              </w:rPr>
              <w:t xml:space="preserve">Severity: </w:t>
            </w:r>
            <w:r>
              <w:rPr>
                <w:rFonts w:ascii="Arial" w:cs="Arial" w:eastAsia="Arial" w:hAnsi="Arial"/>
                <w:b/>
                <w:bCs/>
                <w:color w:val="C0392B"/>
                <w:sz w:val="17"/>
                <w:szCs w:val="17"/>
              </w:rPr>
              <w:t xml:space="preserve">🔴 Critical   </w:t>
            </w:r>
            <w:r>
              <w:rPr>
                <w:rFonts w:ascii="Arial" w:cs="Arial" w:eastAsia="Arial" w:hAnsi="Arial"/>
                <w:b/>
                <w:bCs/>
                <w:color w:val="1C2833"/>
                <w:sz w:val="17"/>
                <w:szCs w:val="17"/>
              </w:rPr>
              <w:t xml:space="preserve">Articles: </w:t>
            </w:r>
            <w:r>
              <w:rPr>
                <w:rFonts w:ascii="Arial" w:cs="Arial" w:eastAsia="Arial" w:hAnsi="Arial"/>
                <w:i/>
                <w:iCs/>
                <w:color w:val="5D6D7E"/>
                <w:sz w:val="17"/>
                <w:szCs w:val="17"/>
              </w:rPr>
              <w:t xml:space="preserve">Arts. 9, 10   </w:t>
            </w:r>
            <w:r>
              <w:rPr>
                <w:rFonts w:ascii="Arial" w:cs="Arial" w:eastAsia="Arial" w:hAnsi="Arial"/>
                <w:b/>
                <w:bCs/>
                <w:color w:val="1C2833"/>
                <w:sz w:val="17"/>
                <w:szCs w:val="17"/>
              </w:rPr>
              <w:t xml:space="preserve">Document: </w:t>
            </w:r>
            <w:r>
              <w:rPr>
                <w:rFonts w:ascii="Arial" w:cs="Arial" w:eastAsia="Arial" w:hAnsi="Arial"/>
                <w:i/>
                <w:iCs/>
                <w:color w:val="1A5276"/>
                <w:sz w:val="17"/>
                <w:szCs w:val="17"/>
              </w:rPr>
              <w:t xml:space="preserve">dpia-health-data-acme-2025.docx</w:t>
            </w:r>
          </w:p>
        </w:tc>
      </w:tr>
      <w:tr>
        <w:tc>
          <w:tcPr>
            <w:tcW w:type="dxa" w:w="4680"/>
            <w:tcBorders>
              <w:top w:val="none" w:color="FFFFFF" w:sz="0"/>
              <w:left w:val="none" w:color="FFFFFF" w:sz="0"/>
              <w:bottom w:val="none" w:color="FFFFFF" w:sz="0"/>
              <w:right w:val="none" w:color="FFFFFF" w:sz="0"/>
            </w:tcBorders>
            <w:shd w:fill="FADBD8" w:val="clear"/>
            <w:tcMar>
              <w:top w:type="dxa" w:w="60"/>
              <w:left w:type="dxa" w:w="140"/>
              <w:bottom w:type="dxa" w:w="40"/>
              <w:right w:type="dxa" w:w="140"/>
            </w:tcMar>
          </w:tcPr>
          <w:p>
            <w:r>
              <w:rPr>
                <w:rFonts w:ascii="Arial" w:cs="Arial" w:eastAsia="Arial" w:hAnsi="Arial"/>
                <w:b/>
                <w:bCs/>
                <w:color w:val="C0392B"/>
                <w:sz w:val="18"/>
                <w:szCs w:val="18"/>
              </w:rPr>
              <w:t xml:space="preserve">What's wrong</w:t>
            </w:r>
          </w:p>
        </w:tc>
        <w:tc>
          <w:tcPr>
            <w:tcW w:type="dxa" w:w="4680"/>
            <w:tcBorders>
              <w:top w:val="none" w:color="FFFFFF" w:sz="0"/>
              <w:left w:val="none" w:color="FFFFFF" w:sz="0"/>
              <w:bottom w:val="none" w:color="FFFFFF" w:sz="0"/>
              <w:right w:val="none" w:color="FFFFFF" w:sz="0"/>
            </w:tcBorders>
            <w:shd w:fill="D5F5E3" w:val="clear"/>
            <w:tcMar>
              <w:top w:type="dxa" w:w="60"/>
              <w:left w:type="dxa" w:w="140"/>
              <w:bottom w:type="dxa" w:w="40"/>
              <w:right w:type="dxa" w:w="140"/>
            </w:tcMar>
          </w:tcPr>
          <w:p>
            <w:r>
              <w:rPr>
                <w:rFonts w:ascii="Arial" w:cs="Arial" w:eastAsia="Arial" w:hAnsi="Arial"/>
                <w:b/>
                <w:bCs/>
                <w:color w:val="1E8449"/>
                <w:sz w:val="18"/>
                <w:szCs w:val="18"/>
              </w:rPr>
              <w:t xml:space="preserve">What to do</w:t>
            </w:r>
          </w:p>
        </w:tc>
      </w:tr>
      <w:tr>
        <w:tc>
          <w:tcPr>
            <w:tcW w:type="dxa" w:w="4680"/>
            <w:tcBorders>
              <w:top w:val="none" w:color="FFFFFF" w:sz="0"/>
              <w:left w:val="none" w:color="FFFFFF" w:sz="0"/>
              <w:bottom w:val="single" w:color="C0392B" w:sz="1"/>
              <w:right w:val="single" w:color="AAAAAA" w:sz="1"/>
            </w:tcBorders>
            <w:shd w:fill="FADBD8"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C0392B"/>
                <w:sz w:val="17"/>
                <w:szCs w:val="17"/>
              </w:rPr>
              <w:t xml:space="preserve">health_status is special category data: </w:t>
            </w:r>
            <w:r>
              <w:rPr>
                <w:rFonts w:ascii="Arial" w:cs="Arial" w:eastAsia="Arial" w:hAnsi="Arial"/>
                <w:color w:val="C0392B"/>
                <w:sz w:val="17"/>
                <w:szCs w:val="17"/>
              </w:rPr>
              <w:t xml:space="preserve">The health_status field in your users table contains health data — a special category under Art. 9. Special category data carries the highest regulatory risk: fines up to €20M or 4% of global turnover. Processing it requires explicit consent or a specific documented exception, neither of which is present.</w:t>
            </w:r>
          </w:p>
          <w:p>
            <w:pPr>
              <w:pStyle w:val="ListParagraph"/>
              <w:numPr>
                <w:ilvl w:val="0"/>
                <w:numId w:val="2"/>
              </w:numPr>
              <w:spacing w:after="80"/>
            </w:pPr>
            <w:r>
              <w:rPr>
                <w:rFonts w:ascii="Arial" w:cs="Arial" w:eastAsia="Arial" w:hAnsi="Arial"/>
                <w:b/>
                <w:bCs/>
                <w:color w:val="C0392B"/>
                <w:sz w:val="17"/>
                <w:szCs w:val="17"/>
              </w:rPr>
              <w:t xml:space="preserve">No explicit consent for health data: </w:t>
            </w:r>
            <w:r>
              <w:rPr>
                <w:rFonts w:ascii="Arial" w:cs="Arial" w:eastAsia="Arial" w:hAnsi="Arial"/>
                <w:color w:val="C0392B"/>
                <w:sz w:val="17"/>
                <w:szCs w:val="17"/>
              </w:rPr>
              <w:t xml:space="preserve">The standard signup consent covers general data processing but does not specifically mention health data. Art. 9(2)(a) requires a separate, explicit consent that clearly states health data will be collected and for what purpose.</w:t>
            </w:r>
          </w:p>
          <w:p>
            <w:pPr>
              <w:pStyle w:val="ListParagraph"/>
              <w:numPr>
                <w:ilvl w:val="0"/>
                <w:numId w:val="2"/>
              </w:numPr>
              <w:spacing w:after="80"/>
            </w:pPr>
            <w:r>
              <w:rPr>
                <w:rFonts w:ascii="Arial" w:cs="Arial" w:eastAsia="Arial" w:hAnsi="Arial"/>
                <w:b/>
                <w:bCs/>
                <w:color w:val="C0392B"/>
                <w:sz w:val="17"/>
                <w:szCs w:val="17"/>
              </w:rPr>
              <w:t xml:space="preserve">DPIA not completed: </w:t>
            </w:r>
            <w:r>
              <w:rPr>
                <w:rFonts w:ascii="Arial" w:cs="Arial" w:eastAsia="Arial" w:hAnsi="Arial"/>
                <w:color w:val="C0392B"/>
                <w:sz w:val="17"/>
                <w:szCs w:val="17"/>
              </w:rPr>
              <w:t xml:space="preserve">Processing health data at any scale triggers a mandatory Data Protection Impact Assessment (DPIA — a formal risk document). None has been conducted. Processing must not continue until one is complete.</w:t>
            </w:r>
          </w:p>
        </w:tc>
        <w:tc>
          <w:tcPr>
            <w:tcW w:type="dxa" w:w="4680"/>
            <w:tcBorders>
              <w:top w:val="none" w:color="FFFFFF" w:sz="0"/>
              <w:left w:val="none" w:color="FFFFFF" w:sz="0"/>
              <w:bottom w:val="single" w:color="1E8449" w:sz="1"/>
              <w:right w:val="none" w:color="FFFFFF" w:sz="0"/>
            </w:tcBorders>
            <w:shd w:fill="D5F5E3"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1E8449"/>
                <w:sz w:val="17"/>
                <w:szCs w:val="17"/>
              </w:rPr>
              <w:t xml:space="preserve">Add explicit consent for health_status: </w:t>
            </w:r>
            <w:r>
              <w:rPr>
                <w:rFonts w:ascii="Arial" w:cs="Arial" w:eastAsia="Arial" w:hAnsi="Arial"/>
                <w:color w:val="1E8449"/>
                <w:sz w:val="17"/>
                <w:szCs w:val="17"/>
              </w:rPr>
              <w:t xml:space="preserve">Ask your engineer to add a separate clearly labelled consent step specifically for health data — separate from the general signup terms. The consent text must name what health data is collected and why.</w:t>
            </w:r>
          </w:p>
          <w:p>
            <w:pPr>
              <w:pStyle w:val="ListParagraph"/>
              <w:numPr>
                <w:ilvl w:val="0"/>
                <w:numId w:val="2"/>
              </w:numPr>
              <w:spacing w:after="80"/>
            </w:pPr>
            <w:r>
              <w:rPr>
                <w:rFonts w:ascii="Arial" w:cs="Arial" w:eastAsia="Arial" w:hAnsi="Arial"/>
                <w:b/>
                <w:bCs/>
                <w:color w:val="1E8449"/>
                <w:sz w:val="17"/>
                <w:szCs w:val="17"/>
              </w:rPr>
              <w:t xml:space="preserve">Run a DPIA immediately: </w:t>
            </w:r>
            <w:r>
              <w:rPr>
                <w:rFonts w:ascii="Arial" w:cs="Arial" w:eastAsia="Arial" w:hAnsi="Arial"/>
                <w:color w:val="1E8449"/>
                <w:sz w:val="17"/>
                <w:szCs w:val="17"/>
              </w:rPr>
              <w:t xml:space="preserve">Your DPO must complete a DPIA before health data processing continues. Use the attached dpia-health-data-acme-2025.docx. If it identifies high residual risk, consult the ICO before proceeding — this is a legal requirement.</w:t>
            </w:r>
          </w:p>
          <w:p>
            <w:pPr>
              <w:pStyle w:val="ListParagraph"/>
              <w:numPr>
                <w:ilvl w:val="0"/>
                <w:numId w:val="2"/>
              </w:numPr>
              <w:spacing w:after="80"/>
            </w:pPr>
            <w:r>
              <w:rPr>
                <w:rFonts w:ascii="Arial" w:cs="Arial" w:eastAsia="Arial" w:hAnsi="Arial"/>
                <w:b/>
                <w:bCs/>
                <w:color w:val="1E8449"/>
                <w:sz w:val="17"/>
                <w:szCs w:val="17"/>
              </w:rPr>
              <w:t xml:space="preserve">Assess whether health_status is necessary: </w:t>
            </w:r>
            <w:r>
              <w:rPr>
                <w:rFonts w:ascii="Arial" w:cs="Arial" w:eastAsia="Arial" w:hAnsi="Arial"/>
                <w:color w:val="1E8449"/>
                <w:sz w:val="17"/>
                <w:szCs w:val="17"/>
              </w:rPr>
              <w:t xml:space="preserve">Ask your product team whether health_status is genuinely required for the product to function, or whether it could be replaced with a less sensitive proxy. If you don't need it, don't collect it.</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9360"/>
            <w:gridSpan w:val="2"/>
            <w:tcBorders>
              <w:top w:val="none" w:color="FFFFFF" w:sz="0"/>
              <w:left w:val="none" w:color="FFFFFF" w:sz="0"/>
              <w:bottom w:val="none" w:color="FFFFFF" w:sz="0"/>
              <w:right w:val="none" w:color="FFFFFF" w:sz="0"/>
            </w:tcBorders>
            <w:shd w:fill="1A3A5C" w:val="clear"/>
            <w:tcMar>
              <w:top w:type="dxa" w:w="100"/>
              <w:left w:type="dxa" w:w="140"/>
              <w:bottom w:type="dxa" w:w="100"/>
              <w:right w:type="dxa" w:w="140"/>
            </w:tcMar>
          </w:tcPr>
          <w:p>
            <w:r>
              <w:rPr>
                <w:rFonts w:ascii="Arial" w:cs="Arial" w:eastAsia="Arial" w:hAnsi="Arial"/>
                <w:b/>
                <w:bCs/>
                <w:color w:val="FFFFFF"/>
                <w:sz w:val="22"/>
                <w:szCs w:val="22"/>
              </w:rPr>
              <w:t xml:space="preserve">5. Data subject rights</w:t>
            </w:r>
          </w:p>
        </w:tc>
      </w:tr>
      <w:tr>
        <w:tc>
          <w:tcPr>
            <w:tcW w:type="dxa" w:w="9360"/>
            <w:gridSpan w:val="2"/>
            <w:tcBorders>
              <w:top w:val="none" w:color="FFFFFF" w:sz="0"/>
              <w:left w:val="none" w:color="FFFFFF" w:sz="0"/>
              <w:bottom w:val="single" w:color="AAAAAA" w:sz="1"/>
              <w:right w:val="none" w:color="FFFFFF" w:sz="0"/>
            </w:tcBorders>
            <w:shd w:fill="EBF5FB" w:val="clear"/>
            <w:tcMar>
              <w:top w:type="dxa" w:w="60"/>
              <w:left w:type="dxa" w:w="140"/>
              <w:bottom w:type="dxa" w:w="60"/>
              <w:right w:type="dxa" w:w="140"/>
            </w:tcMar>
          </w:tcPr>
          <w:p>
            <w:r>
              <w:rPr>
                <w:rFonts w:ascii="Arial" w:cs="Arial" w:eastAsia="Arial" w:hAnsi="Arial"/>
                <w:b/>
                <w:bCs/>
                <w:color w:val="1C2833"/>
                <w:sz w:val="17"/>
                <w:szCs w:val="17"/>
              </w:rPr>
              <w:t xml:space="preserve">Owner: </w:t>
            </w:r>
            <w:r>
              <w:rPr>
                <w:rFonts w:ascii="Arial" w:cs="Arial" w:eastAsia="Arial" w:hAnsi="Arial"/>
                <w:color w:val="1C2833"/>
                <w:sz w:val="17"/>
                <w:szCs w:val="17"/>
              </w:rPr>
              <w:t xml:space="preserve">DPO   </w:t>
            </w:r>
            <w:r>
              <w:rPr>
                <w:rFonts w:ascii="Arial" w:cs="Arial" w:eastAsia="Arial" w:hAnsi="Arial"/>
                <w:b/>
                <w:bCs/>
                <w:color w:val="1C2833"/>
                <w:sz w:val="17"/>
                <w:szCs w:val="17"/>
              </w:rPr>
              <w:t xml:space="preserve">Severity: </w:t>
            </w:r>
            <w:r>
              <w:rPr>
                <w:rFonts w:ascii="Arial" w:cs="Arial" w:eastAsia="Arial" w:hAnsi="Arial"/>
                <w:b/>
                <w:bCs/>
                <w:color w:val="E67E22"/>
                <w:sz w:val="17"/>
                <w:szCs w:val="17"/>
              </w:rPr>
              <w:t xml:space="preserve">🟠 High   </w:t>
            </w:r>
            <w:r>
              <w:rPr>
                <w:rFonts w:ascii="Arial" w:cs="Arial" w:eastAsia="Arial" w:hAnsi="Arial"/>
                <w:b/>
                <w:bCs/>
                <w:color w:val="1C2833"/>
                <w:sz w:val="17"/>
                <w:szCs w:val="17"/>
              </w:rPr>
              <w:t xml:space="preserve">Articles: </w:t>
            </w:r>
            <w:r>
              <w:rPr>
                <w:rFonts w:ascii="Arial" w:cs="Arial" w:eastAsia="Arial" w:hAnsi="Arial"/>
                <w:i/>
                <w:iCs/>
                <w:color w:val="5D6D7E"/>
                <w:sz w:val="17"/>
                <w:szCs w:val="17"/>
              </w:rPr>
              <w:t xml:space="preserve">Arts. 15–22   </w:t>
            </w:r>
            <w:r>
              <w:rPr>
                <w:rFonts w:ascii="Arial" w:cs="Arial" w:eastAsia="Arial" w:hAnsi="Arial"/>
                <w:b/>
                <w:bCs/>
                <w:color w:val="1C2833"/>
                <w:sz w:val="17"/>
                <w:szCs w:val="17"/>
              </w:rPr>
              <w:t xml:space="preserve">Document: </w:t>
            </w:r>
            <w:r>
              <w:rPr>
                <w:rFonts w:ascii="Arial" w:cs="Arial" w:eastAsia="Arial" w:hAnsi="Arial"/>
                <w:i/>
                <w:iCs/>
                <w:color w:val="1A5276"/>
                <w:sz w:val="17"/>
                <w:szCs w:val="17"/>
              </w:rPr>
              <w:t xml:space="preserve">— (SAR process required)</w:t>
            </w:r>
          </w:p>
        </w:tc>
      </w:tr>
      <w:tr>
        <w:tc>
          <w:tcPr>
            <w:tcW w:type="dxa" w:w="4680"/>
            <w:tcBorders>
              <w:top w:val="none" w:color="FFFFFF" w:sz="0"/>
              <w:left w:val="none" w:color="FFFFFF" w:sz="0"/>
              <w:bottom w:val="none" w:color="FFFFFF" w:sz="0"/>
              <w:right w:val="none" w:color="FFFFFF" w:sz="0"/>
            </w:tcBorders>
            <w:shd w:fill="FADBD8" w:val="clear"/>
            <w:tcMar>
              <w:top w:type="dxa" w:w="60"/>
              <w:left w:type="dxa" w:w="140"/>
              <w:bottom w:type="dxa" w:w="40"/>
              <w:right w:type="dxa" w:w="140"/>
            </w:tcMar>
          </w:tcPr>
          <w:p>
            <w:r>
              <w:rPr>
                <w:rFonts w:ascii="Arial" w:cs="Arial" w:eastAsia="Arial" w:hAnsi="Arial"/>
                <w:b/>
                <w:bCs/>
                <w:color w:val="C0392B"/>
                <w:sz w:val="18"/>
                <w:szCs w:val="18"/>
              </w:rPr>
              <w:t xml:space="preserve">What's wrong</w:t>
            </w:r>
          </w:p>
        </w:tc>
        <w:tc>
          <w:tcPr>
            <w:tcW w:type="dxa" w:w="4680"/>
            <w:tcBorders>
              <w:top w:val="none" w:color="FFFFFF" w:sz="0"/>
              <w:left w:val="none" w:color="FFFFFF" w:sz="0"/>
              <w:bottom w:val="none" w:color="FFFFFF" w:sz="0"/>
              <w:right w:val="none" w:color="FFFFFF" w:sz="0"/>
            </w:tcBorders>
            <w:shd w:fill="D5F5E3" w:val="clear"/>
            <w:tcMar>
              <w:top w:type="dxa" w:w="60"/>
              <w:left w:type="dxa" w:w="140"/>
              <w:bottom w:type="dxa" w:w="40"/>
              <w:right w:type="dxa" w:w="140"/>
            </w:tcMar>
          </w:tcPr>
          <w:p>
            <w:r>
              <w:rPr>
                <w:rFonts w:ascii="Arial" w:cs="Arial" w:eastAsia="Arial" w:hAnsi="Arial"/>
                <w:b/>
                <w:bCs/>
                <w:color w:val="1E8449"/>
                <w:sz w:val="18"/>
                <w:szCs w:val="18"/>
              </w:rPr>
              <w:t xml:space="preserve">What to do</w:t>
            </w:r>
          </w:p>
        </w:tc>
      </w:tr>
      <w:tr>
        <w:tc>
          <w:tcPr>
            <w:tcW w:type="dxa" w:w="4680"/>
            <w:tcBorders>
              <w:top w:val="none" w:color="FFFFFF" w:sz="0"/>
              <w:left w:val="none" w:color="FFFFFF" w:sz="0"/>
              <w:bottom w:val="single" w:color="C0392B" w:sz="1"/>
              <w:right w:val="single" w:color="AAAAAA" w:sz="1"/>
            </w:tcBorders>
            <w:shd w:fill="FADBD8"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C0392B"/>
                <w:sz w:val="17"/>
                <w:szCs w:val="17"/>
              </w:rPr>
              <w:t xml:space="preserve">No data export endpoint: </w:t>
            </w:r>
            <w:r>
              <w:rPr>
                <w:rFonts w:ascii="Arial" w:cs="Arial" w:eastAsia="Arial" w:hAnsi="Arial"/>
                <w:color w:val="C0392B"/>
                <w:sz w:val="17"/>
                <w:szCs w:val="17"/>
              </w:rPr>
              <w:t xml:space="preserve">There is no way for users to download a copy of the personal data you hold about them. Art. 15 (right of access) and Art. 20 (right to data portability) both require this. A user or regulator requesting their data cannot be served within the required 1-month window.</w:t>
            </w:r>
          </w:p>
          <w:p>
            <w:pPr>
              <w:pStyle w:val="ListParagraph"/>
              <w:numPr>
                <w:ilvl w:val="0"/>
                <w:numId w:val="2"/>
              </w:numPr>
              <w:spacing w:after="80"/>
            </w:pPr>
            <w:r>
              <w:rPr>
                <w:rFonts w:ascii="Arial" w:cs="Arial" w:eastAsia="Arial" w:hAnsi="Arial"/>
                <w:b/>
                <w:bCs/>
                <w:color w:val="C0392B"/>
                <w:sz w:val="17"/>
                <w:szCs w:val="17"/>
              </w:rPr>
              <w:t xml:space="preserve">No SAR handling process: </w:t>
            </w:r>
            <w:r>
              <w:rPr>
                <w:rFonts w:ascii="Arial" w:cs="Arial" w:eastAsia="Arial" w:hAnsi="Arial"/>
                <w:color w:val="C0392B"/>
                <w:sz w:val="17"/>
                <w:szCs w:val="17"/>
              </w:rPr>
              <w:t xml:space="preserve">There is no documented Subject Access Request (SAR) process — no intake form, no triage workflow, no SLA tracking. The ICO can fine for failure to respond within 30 days.</w:t>
            </w:r>
          </w:p>
          <w:p>
            <w:pPr>
              <w:pStyle w:val="ListParagraph"/>
              <w:numPr>
                <w:ilvl w:val="0"/>
                <w:numId w:val="2"/>
              </w:numPr>
              <w:spacing w:after="80"/>
            </w:pPr>
            <w:r>
              <w:rPr>
                <w:rFonts w:ascii="Arial" w:cs="Arial" w:eastAsia="Arial" w:hAnsi="Arial"/>
                <w:b/>
                <w:bCs/>
                <w:color w:val="C0392B"/>
                <w:sz w:val="17"/>
                <w:szCs w:val="17"/>
              </w:rPr>
              <w:t xml:space="preserve">No opt-out from legitimate interest processing: </w:t>
            </w:r>
            <w:r>
              <w:rPr>
                <w:rFonts w:ascii="Arial" w:cs="Arial" w:eastAsia="Arial" w:hAnsi="Arial"/>
                <w:color w:val="C0392B"/>
                <w:sz w:val="17"/>
                <w:szCs w:val="17"/>
              </w:rPr>
              <w:t xml:space="preserve">Users have no way to object to analytics or personalisation processing based on legitimate interests. Art. 21 requires this opt-out to be readily accessible in the product — not buried in a policy document.</w:t>
            </w:r>
          </w:p>
        </w:tc>
        <w:tc>
          <w:tcPr>
            <w:tcW w:type="dxa" w:w="4680"/>
            <w:tcBorders>
              <w:top w:val="none" w:color="FFFFFF" w:sz="0"/>
              <w:left w:val="none" w:color="FFFFFF" w:sz="0"/>
              <w:bottom w:val="single" w:color="1E8449" w:sz="1"/>
              <w:right w:val="none" w:color="FFFFFF" w:sz="0"/>
            </w:tcBorders>
            <w:shd w:fill="D5F5E3"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1E8449"/>
                <w:sz w:val="17"/>
                <w:szCs w:val="17"/>
              </w:rPr>
              <w:t xml:space="preserve">Build a data export endpoint: </w:t>
            </w:r>
            <w:r>
              <w:rPr>
                <w:rFonts w:ascii="Arial" w:cs="Arial" w:eastAsia="Arial" w:hAnsi="Arial"/>
                <w:color w:val="1E8449"/>
                <w:sz w:val="17"/>
                <w:szCs w:val="17"/>
              </w:rPr>
              <w:t xml:space="preserve">Ask your engineer to create a /account/export endpoint that returns a JSON or CSV of all personal data held for that user — name, email, phone, consent records, activity logs. This satisfies both Art. 15 access and Art. 20 portability.</w:t>
            </w:r>
          </w:p>
          <w:p>
            <w:pPr>
              <w:pStyle w:val="ListParagraph"/>
              <w:numPr>
                <w:ilvl w:val="0"/>
                <w:numId w:val="2"/>
              </w:numPr>
              <w:spacing w:after="80"/>
            </w:pPr>
            <w:r>
              <w:rPr>
                <w:rFonts w:ascii="Arial" w:cs="Arial" w:eastAsia="Arial" w:hAnsi="Arial"/>
                <w:b/>
                <w:bCs/>
                <w:color w:val="1E8449"/>
                <w:sz w:val="17"/>
                <w:szCs w:val="17"/>
              </w:rPr>
              <w:t xml:space="preserve">Document a SAR process: </w:t>
            </w:r>
            <w:r>
              <w:rPr>
                <w:rFonts w:ascii="Arial" w:cs="Arial" w:eastAsia="Arial" w:hAnsi="Arial"/>
                <w:color w:val="1E8449"/>
                <w:sz w:val="17"/>
                <w:szCs w:val="17"/>
              </w:rPr>
              <w:t xml:space="preserve">Ask your DPO to write a one-page SAR triage process: how requests are received, who handles them, and how to pull data from each system (DB, Mailchimp, Segment, Sentry). Set a 30-day SLA tracker.</w:t>
            </w:r>
          </w:p>
          <w:p>
            <w:pPr>
              <w:pStyle w:val="ListParagraph"/>
              <w:numPr>
                <w:ilvl w:val="0"/>
                <w:numId w:val="2"/>
              </w:numPr>
              <w:spacing w:after="80"/>
            </w:pPr>
            <w:r>
              <w:rPr>
                <w:rFonts w:ascii="Arial" w:cs="Arial" w:eastAsia="Arial" w:hAnsi="Arial"/>
                <w:b/>
                <w:bCs/>
                <w:color w:val="1E8449"/>
                <w:sz w:val="17"/>
                <w:szCs w:val="17"/>
              </w:rPr>
              <w:t xml:space="preserve">Add opt-out in account settings: </w:t>
            </w:r>
            <w:r>
              <w:rPr>
                <w:rFonts w:ascii="Arial" w:cs="Arial" w:eastAsia="Arial" w:hAnsi="Arial"/>
                <w:color w:val="1E8449"/>
                <w:sz w:val="17"/>
                <w:szCs w:val="17"/>
              </w:rPr>
              <w:t xml:space="preserve">Ask your engineer to add an 'Opt out of analytics and personalisation' toggle in account settings. When toggled, suppress Segment and any analytics tracking for that user.</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9360"/>
            <w:gridSpan w:val="2"/>
            <w:tcBorders>
              <w:top w:val="none" w:color="FFFFFF" w:sz="0"/>
              <w:left w:val="none" w:color="FFFFFF" w:sz="0"/>
              <w:bottom w:val="none" w:color="FFFFFF" w:sz="0"/>
              <w:right w:val="none" w:color="FFFFFF" w:sz="0"/>
            </w:tcBorders>
            <w:shd w:fill="1A3A5C" w:val="clear"/>
            <w:tcMar>
              <w:top w:type="dxa" w:w="100"/>
              <w:left w:type="dxa" w:w="140"/>
              <w:bottom w:type="dxa" w:w="100"/>
              <w:right w:type="dxa" w:w="140"/>
            </w:tcMar>
          </w:tcPr>
          <w:p>
            <w:r>
              <w:rPr>
                <w:rFonts w:ascii="Arial" w:cs="Arial" w:eastAsia="Arial" w:hAnsi="Arial"/>
                <w:b/>
                <w:bCs/>
                <w:color w:val="FFFFFF"/>
                <w:sz w:val="22"/>
                <w:szCs w:val="22"/>
              </w:rPr>
              <w:t xml:space="preserve">6. Retention &amp; deletion</w:t>
            </w:r>
          </w:p>
        </w:tc>
      </w:tr>
      <w:tr>
        <w:tc>
          <w:tcPr>
            <w:tcW w:type="dxa" w:w="9360"/>
            <w:gridSpan w:val="2"/>
            <w:tcBorders>
              <w:top w:val="none" w:color="FFFFFF" w:sz="0"/>
              <w:left w:val="none" w:color="FFFFFF" w:sz="0"/>
              <w:bottom w:val="single" w:color="AAAAAA" w:sz="1"/>
              <w:right w:val="none" w:color="FFFFFF" w:sz="0"/>
            </w:tcBorders>
            <w:shd w:fill="EBF5FB" w:val="clear"/>
            <w:tcMar>
              <w:top w:type="dxa" w:w="60"/>
              <w:left w:type="dxa" w:w="140"/>
              <w:bottom w:type="dxa" w:w="60"/>
              <w:right w:type="dxa" w:w="140"/>
            </w:tcMar>
          </w:tcPr>
          <w:p>
            <w:r>
              <w:rPr>
                <w:rFonts w:ascii="Arial" w:cs="Arial" w:eastAsia="Arial" w:hAnsi="Arial"/>
                <w:b/>
                <w:bCs/>
                <w:color w:val="1C2833"/>
                <w:sz w:val="17"/>
                <w:szCs w:val="17"/>
              </w:rPr>
              <w:t xml:space="preserve">Owner: </w:t>
            </w:r>
            <w:r>
              <w:rPr>
                <w:rFonts w:ascii="Arial" w:cs="Arial" w:eastAsia="Arial" w:hAnsi="Arial"/>
                <w:color w:val="1C2833"/>
                <w:sz w:val="17"/>
                <w:szCs w:val="17"/>
              </w:rPr>
              <w:t xml:space="preserve">Engineering   </w:t>
            </w:r>
            <w:r>
              <w:rPr>
                <w:rFonts w:ascii="Arial" w:cs="Arial" w:eastAsia="Arial" w:hAnsi="Arial"/>
                <w:b/>
                <w:bCs/>
                <w:color w:val="1C2833"/>
                <w:sz w:val="17"/>
                <w:szCs w:val="17"/>
              </w:rPr>
              <w:t xml:space="preserve">Severity: </w:t>
            </w:r>
            <w:r>
              <w:rPr>
                <w:rFonts w:ascii="Arial" w:cs="Arial" w:eastAsia="Arial" w:hAnsi="Arial"/>
                <w:b/>
                <w:bCs/>
                <w:color w:val="C0392B"/>
                <w:sz w:val="17"/>
                <w:szCs w:val="17"/>
              </w:rPr>
              <w:t xml:space="preserve">🔴 Critical   </w:t>
            </w:r>
            <w:r>
              <w:rPr>
                <w:rFonts w:ascii="Arial" w:cs="Arial" w:eastAsia="Arial" w:hAnsi="Arial"/>
                <w:b/>
                <w:bCs/>
                <w:color w:val="1C2833"/>
                <w:sz w:val="17"/>
                <w:szCs w:val="17"/>
              </w:rPr>
              <w:t xml:space="preserve">Articles: </w:t>
            </w:r>
            <w:r>
              <w:rPr>
                <w:rFonts w:ascii="Arial" w:cs="Arial" w:eastAsia="Arial" w:hAnsi="Arial"/>
                <w:i/>
                <w:iCs/>
                <w:color w:val="5D6D7E"/>
                <w:sz w:val="17"/>
                <w:szCs w:val="17"/>
              </w:rPr>
              <w:t xml:space="preserve">Arts. 5(e), 17   </w:t>
            </w:r>
            <w:r>
              <w:rPr>
                <w:rFonts w:ascii="Arial" w:cs="Arial" w:eastAsia="Arial" w:hAnsi="Arial"/>
                <w:b/>
                <w:bCs/>
                <w:color w:val="1C2833"/>
                <w:sz w:val="17"/>
                <w:szCs w:val="17"/>
              </w:rPr>
              <w:t xml:space="preserve">Document: </w:t>
            </w:r>
            <w:r>
              <w:rPr>
                <w:rFonts w:ascii="Arial" w:cs="Arial" w:eastAsia="Arial" w:hAnsi="Arial"/>
                <w:i/>
                <w:iCs/>
                <w:color w:val="1A5276"/>
                <w:sz w:val="17"/>
                <w:szCs w:val="17"/>
              </w:rPr>
              <w:t xml:space="preserve">ropa-acme-2025.docx</w:t>
            </w:r>
          </w:p>
        </w:tc>
      </w:tr>
      <w:tr>
        <w:tc>
          <w:tcPr>
            <w:tcW w:type="dxa" w:w="4680"/>
            <w:tcBorders>
              <w:top w:val="none" w:color="FFFFFF" w:sz="0"/>
              <w:left w:val="none" w:color="FFFFFF" w:sz="0"/>
              <w:bottom w:val="none" w:color="FFFFFF" w:sz="0"/>
              <w:right w:val="none" w:color="FFFFFF" w:sz="0"/>
            </w:tcBorders>
            <w:shd w:fill="FADBD8" w:val="clear"/>
            <w:tcMar>
              <w:top w:type="dxa" w:w="60"/>
              <w:left w:type="dxa" w:w="140"/>
              <w:bottom w:type="dxa" w:w="40"/>
              <w:right w:type="dxa" w:w="140"/>
            </w:tcMar>
          </w:tcPr>
          <w:p>
            <w:r>
              <w:rPr>
                <w:rFonts w:ascii="Arial" w:cs="Arial" w:eastAsia="Arial" w:hAnsi="Arial"/>
                <w:b/>
                <w:bCs/>
                <w:color w:val="C0392B"/>
                <w:sz w:val="18"/>
                <w:szCs w:val="18"/>
              </w:rPr>
              <w:t xml:space="preserve">What's wrong</w:t>
            </w:r>
          </w:p>
        </w:tc>
        <w:tc>
          <w:tcPr>
            <w:tcW w:type="dxa" w:w="4680"/>
            <w:tcBorders>
              <w:top w:val="none" w:color="FFFFFF" w:sz="0"/>
              <w:left w:val="none" w:color="FFFFFF" w:sz="0"/>
              <w:bottom w:val="none" w:color="FFFFFF" w:sz="0"/>
              <w:right w:val="none" w:color="FFFFFF" w:sz="0"/>
            </w:tcBorders>
            <w:shd w:fill="D5F5E3" w:val="clear"/>
            <w:tcMar>
              <w:top w:type="dxa" w:w="60"/>
              <w:left w:type="dxa" w:w="140"/>
              <w:bottom w:type="dxa" w:w="40"/>
              <w:right w:type="dxa" w:w="140"/>
            </w:tcMar>
          </w:tcPr>
          <w:p>
            <w:r>
              <w:rPr>
                <w:rFonts w:ascii="Arial" w:cs="Arial" w:eastAsia="Arial" w:hAnsi="Arial"/>
                <w:b/>
                <w:bCs/>
                <w:color w:val="1E8449"/>
                <w:sz w:val="18"/>
                <w:szCs w:val="18"/>
              </w:rPr>
              <w:t xml:space="preserve">What to do</w:t>
            </w:r>
          </w:p>
        </w:tc>
      </w:tr>
      <w:tr>
        <w:tc>
          <w:tcPr>
            <w:tcW w:type="dxa" w:w="4680"/>
            <w:tcBorders>
              <w:top w:val="none" w:color="FFFFFF" w:sz="0"/>
              <w:left w:val="none" w:color="FFFFFF" w:sz="0"/>
              <w:bottom w:val="single" w:color="C0392B" w:sz="1"/>
              <w:right w:val="single" w:color="AAAAAA" w:sz="1"/>
            </w:tcBorders>
            <w:shd w:fill="FADBD8"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C0392B"/>
                <w:sz w:val="17"/>
                <w:szCs w:val="17"/>
              </w:rPr>
              <w:t xml:space="preserve">Soft-delete only: </w:t>
            </w:r>
            <w:r>
              <w:rPr>
                <w:rFonts w:ascii="Arial" w:cs="Arial" w:eastAsia="Arial" w:hAnsi="Arial"/>
                <w:color w:val="C0392B"/>
                <w:sz w:val="17"/>
                <w:szCs w:val="17"/>
              </w:rPr>
              <w:t xml:space="preserve">Your deletion flow sets deleted_at = now() but leaves name, email, phone, and health_status intact in the database. If a user asks to be forgotten, you are not complying.</w:t>
            </w:r>
          </w:p>
          <w:p>
            <w:pPr>
              <w:pStyle w:val="ListParagraph"/>
              <w:numPr>
                <w:ilvl w:val="0"/>
                <w:numId w:val="2"/>
              </w:numPr>
              <w:spacing w:after="80"/>
            </w:pPr>
            <w:r>
              <w:rPr>
                <w:rFonts w:ascii="Arial" w:cs="Arial" w:eastAsia="Arial" w:hAnsi="Arial"/>
                <w:b/>
                <w:bCs/>
                <w:color w:val="C0392B"/>
                <w:sz w:val="17"/>
                <w:szCs w:val="17"/>
              </w:rPr>
              <w:t xml:space="preserve">No retention schedule: </w:t>
            </w:r>
            <w:r>
              <w:rPr>
                <w:rFonts w:ascii="Arial" w:cs="Arial" w:eastAsia="Arial" w:hAnsi="Arial"/>
                <w:color w:val="C0392B"/>
                <w:sz w:val="17"/>
                <w:szCs w:val="17"/>
              </w:rPr>
              <w:t xml:space="preserve">There is no documented policy for how long any data type is kept. GDPR requires defined and enforced limits.</w:t>
            </w:r>
          </w:p>
          <w:p>
            <w:pPr>
              <w:pStyle w:val="ListParagraph"/>
              <w:numPr>
                <w:ilvl w:val="0"/>
                <w:numId w:val="2"/>
              </w:numPr>
              <w:spacing w:after="80"/>
            </w:pPr>
            <w:r>
              <w:rPr>
                <w:rFonts w:ascii="Arial" w:cs="Arial" w:eastAsia="Arial" w:hAnsi="Arial"/>
                <w:b/>
                <w:bCs/>
                <w:color w:val="C0392B"/>
                <w:sz w:val="17"/>
                <w:szCs w:val="17"/>
              </w:rPr>
              <w:t xml:space="preserve">Processors not notified on deletion: </w:t>
            </w:r>
            <w:r>
              <w:rPr>
                <w:rFonts w:ascii="Arial" w:cs="Arial" w:eastAsia="Arial" w:hAnsi="Arial"/>
                <w:color w:val="C0392B"/>
                <w:sz w:val="17"/>
                <w:szCs w:val="17"/>
              </w:rPr>
              <w:t xml:space="preserve">When a user deletes their account, their record persists in Mailchimp, Segment, and Intercom. Those tools continue holding personal data after the user has exercised their erasure right.</w:t>
            </w:r>
          </w:p>
        </w:tc>
        <w:tc>
          <w:tcPr>
            <w:tcW w:type="dxa" w:w="4680"/>
            <w:tcBorders>
              <w:top w:val="none" w:color="FFFFFF" w:sz="0"/>
              <w:left w:val="none" w:color="FFFFFF" w:sz="0"/>
              <w:bottom w:val="single" w:color="1E8449" w:sz="1"/>
              <w:right w:val="none" w:color="FFFFFF" w:sz="0"/>
            </w:tcBorders>
            <w:shd w:fill="D5F5E3"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1E8449"/>
                <w:sz w:val="17"/>
                <w:szCs w:val="17"/>
              </w:rPr>
              <w:t xml:space="preserve">Implement hard delete: </w:t>
            </w:r>
            <w:r>
              <w:rPr>
                <w:rFonts w:ascii="Arial" w:cs="Arial" w:eastAsia="Arial" w:hAnsi="Arial"/>
                <w:color w:val="1E8449"/>
                <w:sz w:val="17"/>
                <w:szCs w:val="17"/>
              </w:rPr>
              <w:t xml:space="preserve">Ask your engineer to overwrite name, email, phone, and health_status with null or random values within 30 days of account deletion. Keep the users row for referential integrity but purge all PII fields.</w:t>
            </w:r>
          </w:p>
          <w:p>
            <w:pPr>
              <w:pStyle w:val="ListParagraph"/>
              <w:numPr>
                <w:ilvl w:val="0"/>
                <w:numId w:val="2"/>
              </w:numPr>
              <w:spacing w:after="80"/>
            </w:pPr>
            <w:r>
              <w:rPr>
                <w:rFonts w:ascii="Arial" w:cs="Arial" w:eastAsia="Arial" w:hAnsi="Arial"/>
                <w:b/>
                <w:bCs/>
                <w:color w:val="1E8449"/>
                <w:sz w:val="17"/>
                <w:szCs w:val="17"/>
              </w:rPr>
              <w:t xml:space="preserve">Define a retention schedule: </w:t>
            </w:r>
            <w:r>
              <w:rPr>
                <w:rFonts w:ascii="Arial" w:cs="Arial" w:eastAsia="Arial" w:hAnsi="Arial"/>
                <w:color w:val="1E8449"/>
                <w:sz w:val="17"/>
                <w:szCs w:val="17"/>
              </w:rPr>
              <w:t xml:space="preserve">DPO to document retention periods per data type and add them to the ROPA. Engineering to implement automated purge jobs for logs and backups.</w:t>
            </w:r>
          </w:p>
          <w:p>
            <w:pPr>
              <w:pStyle w:val="ListParagraph"/>
              <w:numPr>
                <w:ilvl w:val="0"/>
                <w:numId w:val="2"/>
              </w:numPr>
              <w:spacing w:after="80"/>
            </w:pPr>
            <w:r>
              <w:rPr>
                <w:rFonts w:ascii="Arial" w:cs="Arial" w:eastAsia="Arial" w:hAnsi="Arial"/>
                <w:b/>
                <w:bCs/>
                <w:color w:val="1E8449"/>
                <w:sz w:val="17"/>
                <w:szCs w:val="17"/>
              </w:rPr>
              <w:t xml:space="preserve">Build a processor cascade: </w:t>
            </w:r>
            <w:r>
              <w:rPr>
                <w:rFonts w:ascii="Arial" w:cs="Arial" w:eastAsia="Arial" w:hAnsi="Arial"/>
                <w:color w:val="1E8449"/>
                <w:sz w:val="17"/>
                <w:szCs w:val="17"/>
              </w:rPr>
              <w:t xml:space="preserve">Ask your engineer to call the Mailchimp delete-member API, Segment delete-user API, and Intercom delete-user API as part of the deletion flow. Log each call's result.</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9360"/>
            <w:gridSpan w:val="2"/>
            <w:tcBorders>
              <w:top w:val="none" w:color="FFFFFF" w:sz="0"/>
              <w:left w:val="none" w:color="FFFFFF" w:sz="0"/>
              <w:bottom w:val="none" w:color="FFFFFF" w:sz="0"/>
              <w:right w:val="none" w:color="FFFFFF" w:sz="0"/>
            </w:tcBorders>
            <w:shd w:fill="1A3A5C" w:val="clear"/>
            <w:tcMar>
              <w:top w:type="dxa" w:w="100"/>
              <w:left w:type="dxa" w:w="140"/>
              <w:bottom w:type="dxa" w:w="100"/>
              <w:right w:type="dxa" w:w="140"/>
            </w:tcMar>
          </w:tcPr>
          <w:p>
            <w:r>
              <w:rPr>
                <w:rFonts w:ascii="Arial" w:cs="Arial" w:eastAsia="Arial" w:hAnsi="Arial"/>
                <w:b/>
                <w:bCs/>
                <w:color w:val="FFFFFF"/>
                <w:sz w:val="22"/>
                <w:szCs w:val="22"/>
              </w:rPr>
              <w:t xml:space="preserve">7. Processors, joint controllers &amp; ROPA</w:t>
            </w:r>
          </w:p>
        </w:tc>
      </w:tr>
      <w:tr>
        <w:tc>
          <w:tcPr>
            <w:tcW w:type="dxa" w:w="9360"/>
            <w:gridSpan w:val="2"/>
            <w:tcBorders>
              <w:top w:val="none" w:color="FFFFFF" w:sz="0"/>
              <w:left w:val="none" w:color="FFFFFF" w:sz="0"/>
              <w:bottom w:val="single" w:color="AAAAAA" w:sz="1"/>
              <w:right w:val="none" w:color="FFFFFF" w:sz="0"/>
            </w:tcBorders>
            <w:shd w:fill="EBF5FB" w:val="clear"/>
            <w:tcMar>
              <w:top w:type="dxa" w:w="60"/>
              <w:left w:type="dxa" w:w="140"/>
              <w:bottom w:type="dxa" w:w="60"/>
              <w:right w:type="dxa" w:w="140"/>
            </w:tcMar>
          </w:tcPr>
          <w:p>
            <w:r>
              <w:rPr>
                <w:rFonts w:ascii="Arial" w:cs="Arial" w:eastAsia="Arial" w:hAnsi="Arial"/>
                <w:b/>
                <w:bCs/>
                <w:color w:val="1C2833"/>
                <w:sz w:val="17"/>
                <w:szCs w:val="17"/>
              </w:rPr>
              <w:t xml:space="preserve">Owner: </w:t>
            </w:r>
            <w:r>
              <w:rPr>
                <w:rFonts w:ascii="Arial" w:cs="Arial" w:eastAsia="Arial" w:hAnsi="Arial"/>
                <w:color w:val="1C2833"/>
                <w:sz w:val="17"/>
                <w:szCs w:val="17"/>
              </w:rPr>
              <w:t xml:space="preserve">DPO   </w:t>
            </w:r>
            <w:r>
              <w:rPr>
                <w:rFonts w:ascii="Arial" w:cs="Arial" w:eastAsia="Arial" w:hAnsi="Arial"/>
                <w:b/>
                <w:bCs/>
                <w:color w:val="1C2833"/>
                <w:sz w:val="17"/>
                <w:szCs w:val="17"/>
              </w:rPr>
              <w:t xml:space="preserve">Severity: </w:t>
            </w:r>
            <w:r>
              <w:rPr>
                <w:rFonts w:ascii="Arial" w:cs="Arial" w:eastAsia="Arial" w:hAnsi="Arial"/>
                <w:b/>
                <w:bCs/>
                <w:color w:val="C0392B"/>
                <w:sz w:val="17"/>
                <w:szCs w:val="17"/>
              </w:rPr>
              <w:t xml:space="preserve">🔴 Critical   </w:t>
            </w:r>
            <w:r>
              <w:rPr>
                <w:rFonts w:ascii="Arial" w:cs="Arial" w:eastAsia="Arial" w:hAnsi="Arial"/>
                <w:b/>
                <w:bCs/>
                <w:color w:val="1C2833"/>
                <w:sz w:val="17"/>
                <w:szCs w:val="17"/>
              </w:rPr>
              <w:t xml:space="preserve">Articles: </w:t>
            </w:r>
            <w:r>
              <w:rPr>
                <w:rFonts w:ascii="Arial" w:cs="Arial" w:eastAsia="Arial" w:hAnsi="Arial"/>
                <w:i/>
                <w:iCs/>
                <w:color w:val="5D6D7E"/>
                <w:sz w:val="17"/>
                <w:szCs w:val="17"/>
              </w:rPr>
              <w:t xml:space="preserve">Arts. 26, 28, 29, 30, 82   </w:t>
            </w:r>
            <w:r>
              <w:rPr>
                <w:rFonts w:ascii="Arial" w:cs="Arial" w:eastAsia="Arial" w:hAnsi="Arial"/>
                <w:b/>
                <w:bCs/>
                <w:color w:val="1C2833"/>
                <w:sz w:val="17"/>
                <w:szCs w:val="17"/>
              </w:rPr>
              <w:t xml:space="preserve">Document: </w:t>
            </w:r>
            <w:r>
              <w:rPr>
                <w:rFonts w:ascii="Arial" w:cs="Arial" w:eastAsia="Arial" w:hAnsi="Arial"/>
                <w:i/>
                <w:iCs/>
                <w:color w:val="1A5276"/>
                <w:sz w:val="17"/>
                <w:szCs w:val="17"/>
              </w:rPr>
              <w:t xml:space="preserve">dpa-template-acme-2025.docx, ropa-acme-2025.docx</w:t>
            </w:r>
          </w:p>
        </w:tc>
      </w:tr>
      <w:tr>
        <w:tc>
          <w:tcPr>
            <w:tcW w:type="dxa" w:w="4680"/>
            <w:tcBorders>
              <w:top w:val="none" w:color="FFFFFF" w:sz="0"/>
              <w:left w:val="none" w:color="FFFFFF" w:sz="0"/>
              <w:bottom w:val="none" w:color="FFFFFF" w:sz="0"/>
              <w:right w:val="none" w:color="FFFFFF" w:sz="0"/>
            </w:tcBorders>
            <w:shd w:fill="FADBD8" w:val="clear"/>
            <w:tcMar>
              <w:top w:type="dxa" w:w="60"/>
              <w:left w:type="dxa" w:w="140"/>
              <w:bottom w:type="dxa" w:w="40"/>
              <w:right w:type="dxa" w:w="140"/>
            </w:tcMar>
          </w:tcPr>
          <w:p>
            <w:r>
              <w:rPr>
                <w:rFonts w:ascii="Arial" w:cs="Arial" w:eastAsia="Arial" w:hAnsi="Arial"/>
                <w:b/>
                <w:bCs/>
                <w:color w:val="C0392B"/>
                <w:sz w:val="18"/>
                <w:szCs w:val="18"/>
              </w:rPr>
              <w:t xml:space="preserve">What's wrong</w:t>
            </w:r>
          </w:p>
        </w:tc>
        <w:tc>
          <w:tcPr>
            <w:tcW w:type="dxa" w:w="4680"/>
            <w:tcBorders>
              <w:top w:val="none" w:color="FFFFFF" w:sz="0"/>
              <w:left w:val="none" w:color="FFFFFF" w:sz="0"/>
              <w:bottom w:val="none" w:color="FFFFFF" w:sz="0"/>
              <w:right w:val="none" w:color="FFFFFF" w:sz="0"/>
            </w:tcBorders>
            <w:shd w:fill="D5F5E3" w:val="clear"/>
            <w:tcMar>
              <w:top w:type="dxa" w:w="60"/>
              <w:left w:type="dxa" w:w="140"/>
              <w:bottom w:type="dxa" w:w="40"/>
              <w:right w:type="dxa" w:w="140"/>
            </w:tcMar>
          </w:tcPr>
          <w:p>
            <w:r>
              <w:rPr>
                <w:rFonts w:ascii="Arial" w:cs="Arial" w:eastAsia="Arial" w:hAnsi="Arial"/>
                <w:b/>
                <w:bCs/>
                <w:color w:val="1E8449"/>
                <w:sz w:val="18"/>
                <w:szCs w:val="18"/>
              </w:rPr>
              <w:t xml:space="preserve">What to do</w:t>
            </w:r>
          </w:p>
        </w:tc>
      </w:tr>
      <w:tr>
        <w:tc>
          <w:tcPr>
            <w:tcW w:type="dxa" w:w="4680"/>
            <w:tcBorders>
              <w:top w:val="none" w:color="FFFFFF" w:sz="0"/>
              <w:left w:val="none" w:color="FFFFFF" w:sz="0"/>
              <w:bottom w:val="single" w:color="C0392B" w:sz="1"/>
              <w:right w:val="single" w:color="AAAAAA" w:sz="1"/>
            </w:tcBorders>
            <w:shd w:fill="FADBD8"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C0392B"/>
                <w:sz w:val="17"/>
                <w:szCs w:val="17"/>
              </w:rPr>
              <w:t xml:space="preserve">No DPAs signed: </w:t>
            </w:r>
            <w:r>
              <w:rPr>
                <w:rFonts w:ascii="Arial" w:cs="Arial" w:eastAsia="Arial" w:hAnsi="Arial"/>
                <w:color w:val="C0392B"/>
                <w:sz w:val="17"/>
                <w:szCs w:val="17"/>
              </w:rPr>
              <w:t xml:space="preserve">Stripe, Mailchimp, Segment, Google Analytics, Sentry, and Intercom all receive personal data. GDPR requires a signed Data Processing Agreement with every processor. Without DPAs, all transfers are unlawful.</w:t>
            </w:r>
          </w:p>
          <w:p>
            <w:pPr>
              <w:pStyle w:val="ListParagraph"/>
              <w:numPr>
                <w:ilvl w:val="0"/>
                <w:numId w:val="2"/>
              </w:numPr>
              <w:spacing w:after="80"/>
            </w:pPr>
            <w:r>
              <w:rPr>
                <w:rFonts w:ascii="Arial" w:cs="Arial" w:eastAsia="Arial" w:hAnsi="Arial"/>
                <w:b/>
                <w:bCs/>
                <w:color w:val="C0392B"/>
                <w:sz w:val="17"/>
                <w:szCs w:val="17"/>
              </w:rPr>
              <w:t xml:space="preserve">No ROPA: </w:t>
            </w:r>
            <w:r>
              <w:rPr>
                <w:rFonts w:ascii="Arial" w:cs="Arial" w:eastAsia="Arial" w:hAnsi="Arial"/>
                <w:color w:val="C0392B"/>
                <w:sz w:val="17"/>
                <w:szCs w:val="17"/>
              </w:rPr>
              <w:t xml:space="preserve">A Record of Processing Activities (ROPA) is a written register of every way your organisation uses personal data. You have none on record.</w:t>
            </w:r>
          </w:p>
          <w:p>
            <w:pPr>
              <w:pStyle w:val="ListParagraph"/>
              <w:numPr>
                <w:ilvl w:val="0"/>
                <w:numId w:val="2"/>
              </w:numPr>
              <w:spacing w:after="80"/>
            </w:pPr>
            <w:r>
              <w:rPr>
                <w:rFonts w:ascii="Arial" w:cs="Arial" w:eastAsia="Arial" w:hAnsi="Arial"/>
                <w:b/>
                <w:bCs/>
                <w:color w:val="C0392B"/>
                <w:sz w:val="17"/>
                <w:szCs w:val="17"/>
              </w:rPr>
              <w:t xml:space="preserve">No joint controller agreement: </w:t>
            </w:r>
            <w:r>
              <w:rPr>
                <w:rFonts w:ascii="Arial" w:cs="Arial" w:eastAsia="Arial" w:hAnsi="Arial"/>
                <w:color w:val="C0392B"/>
                <w:sz w:val="17"/>
                <w:szCs w:val="17"/>
              </w:rPr>
              <w:t xml:space="preserve">Google Analytics and Meta Pixel involve a joint controller relationship — you and Google/Meta both determine processing purposes. This requires a specific Art. 26 agreement, separate from a processor DPA.</w:t>
            </w:r>
          </w:p>
        </w:tc>
        <w:tc>
          <w:tcPr>
            <w:tcW w:type="dxa" w:w="4680"/>
            <w:tcBorders>
              <w:top w:val="none" w:color="FFFFFF" w:sz="0"/>
              <w:left w:val="none" w:color="FFFFFF" w:sz="0"/>
              <w:bottom w:val="single" w:color="1E8449" w:sz="1"/>
              <w:right w:val="none" w:color="FFFFFF" w:sz="0"/>
            </w:tcBorders>
            <w:shd w:fill="D5F5E3"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1E8449"/>
                <w:sz w:val="17"/>
                <w:szCs w:val="17"/>
              </w:rPr>
              <w:t xml:space="preserve">Sign DPAs this week: </w:t>
            </w:r>
            <w:r>
              <w:rPr>
                <w:rFonts w:ascii="Arial" w:cs="Arial" w:eastAsia="Arial" w:hAnsi="Arial"/>
                <w:color w:val="1E8449"/>
                <w:sz w:val="17"/>
                <w:szCs w:val="17"/>
              </w:rPr>
              <w:t xml:space="preserve">All processors have self-serve portals: Stripe (stripe.com/legal/dpa), Mailchimp (mailchimp.com/legal), Segment (segment.com/legal/dpa), Google (GA4 admin settings), Sentry (sentry.io/legal/dpa), Intercom (intercom.com/legal).</w:t>
            </w:r>
          </w:p>
          <w:p>
            <w:pPr>
              <w:pStyle w:val="ListParagraph"/>
              <w:numPr>
                <w:ilvl w:val="0"/>
                <w:numId w:val="2"/>
              </w:numPr>
              <w:spacing w:after="80"/>
            </w:pPr>
            <w:r>
              <w:rPr>
                <w:rFonts w:ascii="Arial" w:cs="Arial" w:eastAsia="Arial" w:hAnsi="Arial"/>
                <w:b/>
                <w:bCs/>
                <w:color w:val="1E8449"/>
                <w:sz w:val="17"/>
                <w:szCs w:val="17"/>
              </w:rPr>
              <w:t xml:space="preserve">Generate and sign the ROPA: </w:t>
            </w:r>
            <w:r>
              <w:rPr>
                <w:rFonts w:ascii="Arial" w:cs="Arial" w:eastAsia="Arial" w:hAnsi="Arial"/>
                <w:color w:val="1E8449"/>
                <w:sz w:val="17"/>
                <w:szCs w:val="17"/>
              </w:rPr>
              <w:t xml:space="preserve">Use the attached ropa-acme-2025.docx, pre-populated from this scan. DPO to complete the [TO DEFINE] fields and maintain it quarterly.</w:t>
            </w:r>
          </w:p>
          <w:p>
            <w:pPr>
              <w:pStyle w:val="ListParagraph"/>
              <w:numPr>
                <w:ilvl w:val="0"/>
                <w:numId w:val="2"/>
              </w:numPr>
              <w:spacing w:after="80"/>
            </w:pPr>
            <w:r>
              <w:rPr>
                <w:rFonts w:ascii="Arial" w:cs="Arial" w:eastAsia="Arial" w:hAnsi="Arial"/>
                <w:b/>
                <w:bCs/>
                <w:color w:val="1E8449"/>
                <w:sz w:val="17"/>
                <w:szCs w:val="17"/>
              </w:rPr>
              <w:t xml:space="preserve">Sign joint controller addenda: </w:t>
            </w:r>
            <w:r>
              <w:rPr>
                <w:rFonts w:ascii="Arial" w:cs="Arial" w:eastAsia="Arial" w:hAnsi="Arial"/>
                <w:color w:val="1E8449"/>
                <w:sz w:val="17"/>
                <w:szCs w:val="17"/>
              </w:rPr>
              <w:t xml:space="preserve">Accept Google Measurement Controller terms in GA4 account settings. Accept Meta's joint controller addendum in Meta Business settings.</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9360"/>
            <w:gridSpan w:val="2"/>
            <w:tcBorders>
              <w:top w:val="none" w:color="FFFFFF" w:sz="0"/>
              <w:left w:val="none" w:color="FFFFFF" w:sz="0"/>
              <w:bottom w:val="none" w:color="FFFFFF" w:sz="0"/>
              <w:right w:val="none" w:color="FFFFFF" w:sz="0"/>
            </w:tcBorders>
            <w:shd w:fill="1A3A5C" w:val="clear"/>
            <w:tcMar>
              <w:top w:type="dxa" w:w="100"/>
              <w:left w:type="dxa" w:w="140"/>
              <w:bottom w:type="dxa" w:w="100"/>
              <w:right w:type="dxa" w:w="140"/>
            </w:tcMar>
          </w:tcPr>
          <w:p>
            <w:r>
              <w:rPr>
                <w:rFonts w:ascii="Arial" w:cs="Arial" w:eastAsia="Arial" w:hAnsi="Arial"/>
                <w:b/>
                <w:bCs/>
                <w:color w:val="FFFFFF"/>
                <w:sz w:val="22"/>
                <w:szCs w:val="22"/>
              </w:rPr>
              <w:t xml:space="preserve">8. International transfers</w:t>
            </w:r>
          </w:p>
        </w:tc>
      </w:tr>
      <w:tr>
        <w:tc>
          <w:tcPr>
            <w:tcW w:type="dxa" w:w="9360"/>
            <w:gridSpan w:val="2"/>
            <w:tcBorders>
              <w:top w:val="none" w:color="FFFFFF" w:sz="0"/>
              <w:left w:val="none" w:color="FFFFFF" w:sz="0"/>
              <w:bottom w:val="single" w:color="AAAAAA" w:sz="1"/>
              <w:right w:val="none" w:color="FFFFFF" w:sz="0"/>
            </w:tcBorders>
            <w:shd w:fill="EBF5FB" w:val="clear"/>
            <w:tcMar>
              <w:top w:type="dxa" w:w="60"/>
              <w:left w:type="dxa" w:w="140"/>
              <w:bottom w:type="dxa" w:w="60"/>
              <w:right w:type="dxa" w:w="140"/>
            </w:tcMar>
          </w:tcPr>
          <w:p>
            <w:r>
              <w:rPr>
                <w:rFonts w:ascii="Arial" w:cs="Arial" w:eastAsia="Arial" w:hAnsi="Arial"/>
                <w:b/>
                <w:bCs/>
                <w:color w:val="1C2833"/>
                <w:sz w:val="17"/>
                <w:szCs w:val="17"/>
              </w:rPr>
              <w:t xml:space="preserve">Owner: </w:t>
            </w:r>
            <w:r>
              <w:rPr>
                <w:rFonts w:ascii="Arial" w:cs="Arial" w:eastAsia="Arial" w:hAnsi="Arial"/>
                <w:color w:val="1C2833"/>
                <w:sz w:val="17"/>
                <w:szCs w:val="17"/>
              </w:rPr>
              <w:t xml:space="preserve">Legal   </w:t>
            </w:r>
            <w:r>
              <w:rPr>
                <w:rFonts w:ascii="Arial" w:cs="Arial" w:eastAsia="Arial" w:hAnsi="Arial"/>
                <w:b/>
                <w:bCs/>
                <w:color w:val="1C2833"/>
                <w:sz w:val="17"/>
                <w:szCs w:val="17"/>
              </w:rPr>
              <w:t xml:space="preserve">Severity: </w:t>
            </w:r>
            <w:r>
              <w:rPr>
                <w:rFonts w:ascii="Arial" w:cs="Arial" w:eastAsia="Arial" w:hAnsi="Arial"/>
                <w:b/>
                <w:bCs/>
                <w:color w:val="E67E22"/>
                <w:sz w:val="17"/>
                <w:szCs w:val="17"/>
              </w:rPr>
              <w:t xml:space="preserve">🟠 High   </w:t>
            </w:r>
            <w:r>
              <w:rPr>
                <w:rFonts w:ascii="Arial" w:cs="Arial" w:eastAsia="Arial" w:hAnsi="Arial"/>
                <w:b/>
                <w:bCs/>
                <w:color w:val="1C2833"/>
                <w:sz w:val="17"/>
                <w:szCs w:val="17"/>
              </w:rPr>
              <w:t xml:space="preserve">Articles: </w:t>
            </w:r>
            <w:r>
              <w:rPr>
                <w:rFonts w:ascii="Arial" w:cs="Arial" w:eastAsia="Arial" w:hAnsi="Arial"/>
                <w:i/>
                <w:iCs/>
                <w:color w:val="5D6D7E"/>
                <w:sz w:val="17"/>
                <w:szCs w:val="17"/>
              </w:rPr>
              <w:t xml:space="preserve">Arts. 44–49   </w:t>
            </w:r>
            <w:r>
              <w:rPr>
                <w:rFonts w:ascii="Arial" w:cs="Arial" w:eastAsia="Arial" w:hAnsi="Arial"/>
                <w:b/>
                <w:bCs/>
                <w:color w:val="1C2833"/>
                <w:sz w:val="17"/>
                <w:szCs w:val="17"/>
              </w:rPr>
              <w:t xml:space="preserve">Document: </w:t>
            </w:r>
            <w:r>
              <w:rPr>
                <w:rFonts w:ascii="Arial" w:cs="Arial" w:eastAsia="Arial" w:hAnsi="Arial"/>
                <w:i/>
                <w:iCs/>
                <w:color w:val="1A5276"/>
                <w:sz w:val="17"/>
                <w:szCs w:val="17"/>
              </w:rPr>
              <w:t xml:space="preserve">dpa-template-acme-2025.docx</w:t>
            </w:r>
          </w:p>
        </w:tc>
      </w:tr>
      <w:tr>
        <w:tc>
          <w:tcPr>
            <w:tcW w:type="dxa" w:w="4680"/>
            <w:tcBorders>
              <w:top w:val="none" w:color="FFFFFF" w:sz="0"/>
              <w:left w:val="none" w:color="FFFFFF" w:sz="0"/>
              <w:bottom w:val="none" w:color="FFFFFF" w:sz="0"/>
              <w:right w:val="none" w:color="FFFFFF" w:sz="0"/>
            </w:tcBorders>
            <w:shd w:fill="FADBD8" w:val="clear"/>
            <w:tcMar>
              <w:top w:type="dxa" w:w="60"/>
              <w:left w:type="dxa" w:w="140"/>
              <w:bottom w:type="dxa" w:w="40"/>
              <w:right w:type="dxa" w:w="140"/>
            </w:tcMar>
          </w:tcPr>
          <w:p>
            <w:r>
              <w:rPr>
                <w:rFonts w:ascii="Arial" w:cs="Arial" w:eastAsia="Arial" w:hAnsi="Arial"/>
                <w:b/>
                <w:bCs/>
                <w:color w:val="C0392B"/>
                <w:sz w:val="18"/>
                <w:szCs w:val="18"/>
              </w:rPr>
              <w:t xml:space="preserve">What's wrong</w:t>
            </w:r>
          </w:p>
        </w:tc>
        <w:tc>
          <w:tcPr>
            <w:tcW w:type="dxa" w:w="4680"/>
            <w:tcBorders>
              <w:top w:val="none" w:color="FFFFFF" w:sz="0"/>
              <w:left w:val="none" w:color="FFFFFF" w:sz="0"/>
              <w:bottom w:val="none" w:color="FFFFFF" w:sz="0"/>
              <w:right w:val="none" w:color="FFFFFF" w:sz="0"/>
            </w:tcBorders>
            <w:shd w:fill="D5F5E3" w:val="clear"/>
            <w:tcMar>
              <w:top w:type="dxa" w:w="60"/>
              <w:left w:type="dxa" w:w="140"/>
              <w:bottom w:type="dxa" w:w="40"/>
              <w:right w:type="dxa" w:w="140"/>
            </w:tcMar>
          </w:tcPr>
          <w:p>
            <w:r>
              <w:rPr>
                <w:rFonts w:ascii="Arial" w:cs="Arial" w:eastAsia="Arial" w:hAnsi="Arial"/>
                <w:b/>
                <w:bCs/>
                <w:color w:val="1E8449"/>
                <w:sz w:val="18"/>
                <w:szCs w:val="18"/>
              </w:rPr>
              <w:t xml:space="preserve">What to do</w:t>
            </w:r>
          </w:p>
        </w:tc>
      </w:tr>
      <w:tr>
        <w:tc>
          <w:tcPr>
            <w:tcW w:type="dxa" w:w="4680"/>
            <w:tcBorders>
              <w:top w:val="none" w:color="FFFFFF" w:sz="0"/>
              <w:left w:val="none" w:color="FFFFFF" w:sz="0"/>
              <w:bottom w:val="single" w:color="C0392B" w:sz="1"/>
              <w:right w:val="single" w:color="AAAAAA" w:sz="1"/>
            </w:tcBorders>
            <w:shd w:fill="FADBD8"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C0392B"/>
                <w:sz w:val="17"/>
                <w:szCs w:val="17"/>
              </w:rPr>
              <w:t xml:space="preserve">US processors without confirmed transfer mechanism: </w:t>
            </w:r>
            <w:r>
              <w:rPr>
                <w:rFonts w:ascii="Arial" w:cs="Arial" w:eastAsia="Arial" w:hAnsi="Arial"/>
                <w:color w:val="C0392B"/>
                <w:sz w:val="17"/>
                <w:szCs w:val="17"/>
              </w:rPr>
              <w:t xml:space="preserve">Stripe, Mailchimp, and Segment are US-headquartered and process your users' EU personal data in the US. Transferring EU personal data to the US without a lawful transfer mechanism — Data Privacy Framework (DPF) certification or Standard Contractual Clauses (SCCs) — is unlawful under Art. 44.</w:t>
            </w:r>
          </w:p>
          <w:p>
            <w:pPr>
              <w:pStyle w:val="ListParagraph"/>
              <w:numPr>
                <w:ilvl w:val="0"/>
                <w:numId w:val="2"/>
              </w:numPr>
              <w:spacing w:after="80"/>
            </w:pPr>
            <w:r>
              <w:rPr>
                <w:rFonts w:ascii="Arial" w:cs="Arial" w:eastAsia="Arial" w:hAnsi="Arial"/>
                <w:b/>
                <w:bCs/>
                <w:color w:val="C0392B"/>
                <w:sz w:val="17"/>
                <w:szCs w:val="17"/>
              </w:rPr>
              <w:t xml:space="preserve">DPF certification not verified: </w:t>
            </w:r>
            <w:r>
              <w:rPr>
                <w:rFonts w:ascii="Arial" w:cs="Arial" w:eastAsia="Arial" w:hAnsi="Arial"/>
                <w:color w:val="C0392B"/>
                <w:sz w:val="17"/>
                <w:szCs w:val="17"/>
              </w:rPr>
              <w:t xml:space="preserve">None of your US processors have been checked against the official DPF registry (dataprivacyframework.gov). A processor claiming DPF coverage must be listed there — a privacy policy statement alone is not sufficient.</w:t>
            </w:r>
          </w:p>
          <w:p>
            <w:pPr>
              <w:pStyle w:val="ListParagraph"/>
              <w:numPr>
                <w:ilvl w:val="0"/>
                <w:numId w:val="2"/>
              </w:numPr>
              <w:spacing w:after="80"/>
            </w:pPr>
            <w:r>
              <w:rPr>
                <w:rFonts w:ascii="Arial" w:cs="Arial" w:eastAsia="Arial" w:hAnsi="Arial"/>
                <w:b/>
                <w:bCs/>
                <w:color w:val="C0392B"/>
                <w:sz w:val="17"/>
                <w:szCs w:val="17"/>
              </w:rPr>
              <w:t xml:space="preserve">No policy on foreign government data requests: </w:t>
            </w:r>
            <w:r>
              <w:rPr>
                <w:rFonts w:ascii="Arial" w:cs="Arial" w:eastAsia="Arial" w:hAnsi="Arial"/>
                <w:color w:val="C0392B"/>
                <w:sz w:val="17"/>
                <w:szCs w:val="17"/>
              </w:rPr>
              <w:t xml:space="preserve">There is no documented policy for responding to data requests from non-EU courts or authorities. Art. 48 requires a GDPR-compliant legal basis before any such disclosure is made.</w:t>
            </w:r>
          </w:p>
        </w:tc>
        <w:tc>
          <w:tcPr>
            <w:tcW w:type="dxa" w:w="4680"/>
            <w:tcBorders>
              <w:top w:val="none" w:color="FFFFFF" w:sz="0"/>
              <w:left w:val="none" w:color="FFFFFF" w:sz="0"/>
              <w:bottom w:val="single" w:color="1E8449" w:sz="1"/>
              <w:right w:val="none" w:color="FFFFFF" w:sz="0"/>
            </w:tcBorders>
            <w:shd w:fill="D5F5E3"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1E8449"/>
                <w:sz w:val="17"/>
                <w:szCs w:val="17"/>
              </w:rPr>
              <w:t xml:space="preserve">Check the DPF registry: </w:t>
            </w:r>
            <w:r>
              <w:rPr>
                <w:rFonts w:ascii="Arial" w:cs="Arial" w:eastAsia="Arial" w:hAnsi="Arial"/>
                <w:color w:val="1E8449"/>
                <w:sz w:val="17"/>
                <w:szCs w:val="17"/>
              </w:rPr>
              <w:t xml:space="preserve">Your legal team should visit dataprivacyframework.gov and confirm Stripe, Mailchimp, and Segment are listed. If any are not, sign the June 2021 Standard Contractual Clauses with them directly.</w:t>
            </w:r>
          </w:p>
          <w:p>
            <w:pPr>
              <w:pStyle w:val="ListParagraph"/>
              <w:numPr>
                <w:ilvl w:val="0"/>
                <w:numId w:val="2"/>
              </w:numPr>
              <w:spacing w:after="80"/>
            </w:pPr>
            <w:r>
              <w:rPr>
                <w:rFonts w:ascii="Arial" w:cs="Arial" w:eastAsia="Arial" w:hAnsi="Arial"/>
                <w:b/>
                <w:bCs/>
                <w:color w:val="1E8449"/>
                <w:sz w:val="17"/>
                <w:szCs w:val="17"/>
              </w:rPr>
              <w:t xml:space="preserve">Confirm transfer mechanism in each DPA: </w:t>
            </w:r>
            <w:r>
              <w:rPr>
                <w:rFonts w:ascii="Arial" w:cs="Arial" w:eastAsia="Arial" w:hAnsi="Arial"/>
                <w:color w:val="1E8449"/>
                <w:sz w:val="17"/>
                <w:szCs w:val="17"/>
              </w:rPr>
              <w:t xml:space="preserve">When signing DPAs (see Domain 7), confirm the transfer mechanism is explicitly stated in the agreement — either DPF or SCCs. Keep a copy on file.</w:t>
            </w:r>
          </w:p>
          <w:p>
            <w:pPr>
              <w:pStyle w:val="ListParagraph"/>
              <w:numPr>
                <w:ilvl w:val="0"/>
                <w:numId w:val="2"/>
              </w:numPr>
              <w:spacing w:after="80"/>
            </w:pPr>
            <w:r>
              <w:rPr>
                <w:rFonts w:ascii="Arial" w:cs="Arial" w:eastAsia="Arial" w:hAnsi="Arial"/>
                <w:b/>
                <w:bCs/>
                <w:color w:val="1E8449"/>
                <w:sz w:val="17"/>
                <w:szCs w:val="17"/>
              </w:rPr>
              <w:t xml:space="preserve">Document a foreign request policy: </w:t>
            </w:r>
            <w:r>
              <w:rPr>
                <w:rFonts w:ascii="Arial" w:cs="Arial" w:eastAsia="Arial" w:hAnsi="Arial"/>
                <w:color w:val="1E8449"/>
                <w:sz w:val="17"/>
                <w:szCs w:val="17"/>
              </w:rPr>
              <w:t xml:space="preserve">Ask your legal team to add a one-paragraph policy: all government data requests from outside the EU/UK must be reviewed by legal counsel before any data is disclosed. Log all requests received.</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9360"/>
            <w:gridSpan w:val="2"/>
            <w:tcBorders>
              <w:top w:val="none" w:color="FFFFFF" w:sz="0"/>
              <w:left w:val="none" w:color="FFFFFF" w:sz="0"/>
              <w:bottom w:val="none" w:color="FFFFFF" w:sz="0"/>
              <w:right w:val="none" w:color="FFFFFF" w:sz="0"/>
            </w:tcBorders>
            <w:shd w:fill="1A3A5C" w:val="clear"/>
            <w:tcMar>
              <w:top w:type="dxa" w:w="100"/>
              <w:left w:type="dxa" w:w="140"/>
              <w:bottom w:type="dxa" w:w="100"/>
              <w:right w:type="dxa" w:w="140"/>
            </w:tcMar>
          </w:tcPr>
          <w:p>
            <w:r>
              <w:rPr>
                <w:rFonts w:ascii="Arial" w:cs="Arial" w:eastAsia="Arial" w:hAnsi="Arial"/>
                <w:b/>
                <w:bCs/>
                <w:color w:val="FFFFFF"/>
                <w:sz w:val="22"/>
                <w:szCs w:val="22"/>
              </w:rPr>
              <w:t xml:space="preserve">9. Security &amp; logging controls</w:t>
            </w:r>
          </w:p>
        </w:tc>
      </w:tr>
      <w:tr>
        <w:tc>
          <w:tcPr>
            <w:tcW w:type="dxa" w:w="9360"/>
            <w:gridSpan w:val="2"/>
            <w:tcBorders>
              <w:top w:val="none" w:color="FFFFFF" w:sz="0"/>
              <w:left w:val="none" w:color="FFFFFF" w:sz="0"/>
              <w:bottom w:val="single" w:color="AAAAAA" w:sz="1"/>
              <w:right w:val="none" w:color="FFFFFF" w:sz="0"/>
            </w:tcBorders>
            <w:shd w:fill="EBF5FB" w:val="clear"/>
            <w:tcMar>
              <w:top w:type="dxa" w:w="60"/>
              <w:left w:type="dxa" w:w="140"/>
              <w:bottom w:type="dxa" w:w="60"/>
              <w:right w:type="dxa" w:w="140"/>
            </w:tcMar>
          </w:tcPr>
          <w:p>
            <w:r>
              <w:rPr>
                <w:rFonts w:ascii="Arial" w:cs="Arial" w:eastAsia="Arial" w:hAnsi="Arial"/>
                <w:b/>
                <w:bCs/>
                <w:color w:val="1C2833"/>
                <w:sz w:val="17"/>
                <w:szCs w:val="17"/>
              </w:rPr>
              <w:t xml:space="preserve">Owner: </w:t>
            </w:r>
            <w:r>
              <w:rPr>
                <w:rFonts w:ascii="Arial" w:cs="Arial" w:eastAsia="Arial" w:hAnsi="Arial"/>
                <w:color w:val="1C2833"/>
                <w:sz w:val="17"/>
                <w:szCs w:val="17"/>
              </w:rPr>
              <w:t xml:space="preserve">Engineering   </w:t>
            </w:r>
            <w:r>
              <w:rPr>
                <w:rFonts w:ascii="Arial" w:cs="Arial" w:eastAsia="Arial" w:hAnsi="Arial"/>
                <w:b/>
                <w:bCs/>
                <w:color w:val="1C2833"/>
                <w:sz w:val="17"/>
                <w:szCs w:val="17"/>
              </w:rPr>
              <w:t xml:space="preserve">Severity: </w:t>
            </w:r>
            <w:r>
              <w:rPr>
                <w:rFonts w:ascii="Arial" w:cs="Arial" w:eastAsia="Arial" w:hAnsi="Arial"/>
                <w:b/>
                <w:bCs/>
                <w:color w:val="E67E22"/>
                <w:sz w:val="17"/>
                <w:szCs w:val="17"/>
              </w:rPr>
              <w:t xml:space="preserve">🟠 High   </w:t>
            </w:r>
            <w:r>
              <w:rPr>
                <w:rFonts w:ascii="Arial" w:cs="Arial" w:eastAsia="Arial" w:hAnsi="Arial"/>
                <w:b/>
                <w:bCs/>
                <w:color w:val="1C2833"/>
                <w:sz w:val="17"/>
                <w:szCs w:val="17"/>
              </w:rPr>
              <w:t xml:space="preserve">Articles: </w:t>
            </w:r>
            <w:r>
              <w:rPr>
                <w:rFonts w:ascii="Arial" w:cs="Arial" w:eastAsia="Arial" w:hAnsi="Arial"/>
                <w:i/>
                <w:iCs/>
                <w:color w:val="5D6D7E"/>
                <w:sz w:val="17"/>
                <w:szCs w:val="17"/>
              </w:rPr>
              <w:t xml:space="preserve">Art. 32   </w:t>
            </w:r>
            <w:r>
              <w:rPr>
                <w:rFonts w:ascii="Arial" w:cs="Arial" w:eastAsia="Arial" w:hAnsi="Arial"/>
                <w:b/>
                <w:bCs/>
                <w:color w:val="1C2833"/>
                <w:sz w:val="17"/>
                <w:szCs w:val="17"/>
              </w:rPr>
              <w:t xml:space="preserve">Document: </w:t>
            </w:r>
            <w:r>
              <w:rPr>
                <w:rFonts w:ascii="Arial" w:cs="Arial" w:eastAsia="Arial" w:hAnsi="Arial"/>
                <w:i/>
                <w:iCs/>
                <w:color w:val="1A5276"/>
                <w:sz w:val="17"/>
                <w:szCs w:val="17"/>
              </w:rPr>
              <w:t xml:space="preserve">breach-response-acme-2025.docx</w:t>
            </w:r>
          </w:p>
        </w:tc>
      </w:tr>
      <w:tr>
        <w:tc>
          <w:tcPr>
            <w:tcW w:type="dxa" w:w="4680"/>
            <w:tcBorders>
              <w:top w:val="none" w:color="FFFFFF" w:sz="0"/>
              <w:left w:val="none" w:color="FFFFFF" w:sz="0"/>
              <w:bottom w:val="none" w:color="FFFFFF" w:sz="0"/>
              <w:right w:val="none" w:color="FFFFFF" w:sz="0"/>
            </w:tcBorders>
            <w:shd w:fill="FADBD8" w:val="clear"/>
            <w:tcMar>
              <w:top w:type="dxa" w:w="60"/>
              <w:left w:type="dxa" w:w="140"/>
              <w:bottom w:type="dxa" w:w="40"/>
              <w:right w:type="dxa" w:w="140"/>
            </w:tcMar>
          </w:tcPr>
          <w:p>
            <w:r>
              <w:rPr>
                <w:rFonts w:ascii="Arial" w:cs="Arial" w:eastAsia="Arial" w:hAnsi="Arial"/>
                <w:b/>
                <w:bCs/>
                <w:color w:val="C0392B"/>
                <w:sz w:val="18"/>
                <w:szCs w:val="18"/>
              </w:rPr>
              <w:t xml:space="preserve">What's wrong</w:t>
            </w:r>
          </w:p>
        </w:tc>
        <w:tc>
          <w:tcPr>
            <w:tcW w:type="dxa" w:w="4680"/>
            <w:tcBorders>
              <w:top w:val="none" w:color="FFFFFF" w:sz="0"/>
              <w:left w:val="none" w:color="FFFFFF" w:sz="0"/>
              <w:bottom w:val="none" w:color="FFFFFF" w:sz="0"/>
              <w:right w:val="none" w:color="FFFFFF" w:sz="0"/>
            </w:tcBorders>
            <w:shd w:fill="D5F5E3" w:val="clear"/>
            <w:tcMar>
              <w:top w:type="dxa" w:w="60"/>
              <w:left w:type="dxa" w:w="140"/>
              <w:bottom w:type="dxa" w:w="40"/>
              <w:right w:type="dxa" w:w="140"/>
            </w:tcMar>
          </w:tcPr>
          <w:p>
            <w:r>
              <w:rPr>
                <w:rFonts w:ascii="Arial" w:cs="Arial" w:eastAsia="Arial" w:hAnsi="Arial"/>
                <w:b/>
                <w:bCs/>
                <w:color w:val="1E8449"/>
                <w:sz w:val="18"/>
                <w:szCs w:val="18"/>
              </w:rPr>
              <w:t xml:space="preserve">What to do</w:t>
            </w:r>
          </w:p>
        </w:tc>
      </w:tr>
      <w:tr>
        <w:tc>
          <w:tcPr>
            <w:tcW w:type="dxa" w:w="4680"/>
            <w:tcBorders>
              <w:top w:val="none" w:color="FFFFFF" w:sz="0"/>
              <w:left w:val="none" w:color="FFFFFF" w:sz="0"/>
              <w:bottom w:val="single" w:color="C0392B" w:sz="1"/>
              <w:right w:val="single" w:color="AAAAAA" w:sz="1"/>
            </w:tcBorders>
            <w:shd w:fill="FADBD8"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C0392B"/>
                <w:sz w:val="17"/>
                <w:szCs w:val="17"/>
              </w:rPr>
              <w:t xml:space="preserve">Auth tokens in localStorage: </w:t>
            </w:r>
            <w:r>
              <w:rPr>
                <w:rFonts w:ascii="Arial" w:cs="Arial" w:eastAsia="Arial" w:hAnsi="Arial"/>
                <w:color w:val="C0392B"/>
                <w:sz w:val="17"/>
                <w:szCs w:val="17"/>
              </w:rPr>
              <w:t xml:space="preserve">Your app stores login credentials (auth tokens) in a browser storage area called localStorage. Any malicious script on your page — for example from a compromised third-party library — can read localStorage and steal those tokens, letting an attacker log in as your users. HttpOnly cookies cannot be read by scripts.</w:t>
            </w:r>
          </w:p>
          <w:p>
            <w:pPr>
              <w:pStyle w:val="ListParagraph"/>
              <w:numPr>
                <w:ilvl w:val="0"/>
                <w:numId w:val="2"/>
              </w:numPr>
              <w:spacing w:after="80"/>
            </w:pPr>
            <w:r>
              <w:rPr>
                <w:rFonts w:ascii="Arial" w:cs="Arial" w:eastAsia="Arial" w:hAnsi="Arial"/>
                <w:b/>
                <w:bCs/>
                <w:color w:val="C0392B"/>
                <w:sz w:val="17"/>
                <w:szCs w:val="17"/>
              </w:rPr>
              <w:t xml:space="preserve">Email addresses in Sentry error logs: </w:t>
            </w:r>
            <w:r>
              <w:rPr>
                <w:rFonts w:ascii="Arial" w:cs="Arial" w:eastAsia="Arial" w:hAnsi="Arial"/>
                <w:color w:val="C0392B"/>
                <w:sz w:val="17"/>
                <w:szCs w:val="17"/>
              </w:rPr>
              <w:t xml:space="preserve">Sentry error reports contain email addresses from user objects passed into log calls. Sentry is a US-based processor — sending personal data without scrubbing it first is a data minimisation violation and an uncontrolled transfer.</w:t>
            </w:r>
          </w:p>
          <w:p>
            <w:pPr>
              <w:pStyle w:val="ListParagraph"/>
              <w:numPr>
                <w:ilvl w:val="0"/>
                <w:numId w:val="2"/>
              </w:numPr>
              <w:spacing w:after="80"/>
            </w:pPr>
            <w:r>
              <w:rPr>
                <w:rFonts w:ascii="Arial" w:cs="Arial" w:eastAsia="Arial" w:hAnsi="Arial"/>
                <w:b/>
                <w:bCs/>
                <w:color w:val="C0392B"/>
                <w:sz w:val="17"/>
                <w:szCs w:val="17"/>
              </w:rPr>
              <w:t xml:space="preserve">Encryption at rest not confirmed: </w:t>
            </w:r>
            <w:r>
              <w:rPr>
                <w:rFonts w:ascii="Arial" w:cs="Arial" w:eastAsia="Arial" w:hAnsi="Arial"/>
                <w:color w:val="C0392B"/>
                <w:sz w:val="17"/>
                <w:szCs w:val="17"/>
              </w:rPr>
              <w:t xml:space="preserve">There is no reference to database encryption or field-level encryption in the codebase or infrastructure config. PII fields — especially health_status — should be encrypted at rest.</w:t>
            </w:r>
          </w:p>
        </w:tc>
        <w:tc>
          <w:tcPr>
            <w:tcW w:type="dxa" w:w="4680"/>
            <w:tcBorders>
              <w:top w:val="none" w:color="FFFFFF" w:sz="0"/>
              <w:left w:val="none" w:color="FFFFFF" w:sz="0"/>
              <w:bottom w:val="single" w:color="1E8449" w:sz="1"/>
              <w:right w:val="none" w:color="FFFFFF" w:sz="0"/>
            </w:tcBorders>
            <w:shd w:fill="D5F5E3"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1E8449"/>
                <w:sz w:val="17"/>
                <w:szCs w:val="17"/>
              </w:rPr>
              <w:t xml:space="preserve">Move tokens to HttpOnly cookies: </w:t>
            </w:r>
            <w:r>
              <w:rPr>
                <w:rFonts w:ascii="Arial" w:cs="Arial" w:eastAsia="Arial" w:hAnsi="Arial"/>
                <w:color w:val="1E8449"/>
                <w:sz w:val="17"/>
                <w:szCs w:val="17"/>
              </w:rPr>
              <w:t xml:space="preserve">Ask your engineer to replace localStorage.setItem('token', ...) with a Set-Cookie response header using the HttpOnly and Secure flags. This prevents any client-side script from reading the token.</w:t>
            </w:r>
          </w:p>
          <w:p>
            <w:pPr>
              <w:pStyle w:val="ListParagraph"/>
              <w:numPr>
                <w:ilvl w:val="0"/>
                <w:numId w:val="2"/>
              </w:numPr>
              <w:spacing w:after="80"/>
            </w:pPr>
            <w:r>
              <w:rPr>
                <w:rFonts w:ascii="Arial" w:cs="Arial" w:eastAsia="Arial" w:hAnsi="Arial"/>
                <w:b/>
                <w:bCs/>
                <w:color w:val="1E8449"/>
                <w:sz w:val="17"/>
                <w:szCs w:val="17"/>
              </w:rPr>
              <w:t xml:space="preserve">Configure Sentry PII scrubbing: </w:t>
            </w:r>
            <w:r>
              <w:rPr>
                <w:rFonts w:ascii="Arial" w:cs="Arial" w:eastAsia="Arial" w:hAnsi="Arial"/>
                <w:color w:val="1E8449"/>
                <w:sz w:val="17"/>
                <w:szCs w:val="17"/>
              </w:rPr>
              <w:t xml:space="preserve">In Sentry project settings, enable Data Scrubbing and add email and name as sensitive fields. Or add a beforeSend hook in your Sentry init that strips user.email from error payloads before they are sent.</w:t>
            </w:r>
          </w:p>
          <w:p>
            <w:pPr>
              <w:pStyle w:val="ListParagraph"/>
              <w:numPr>
                <w:ilvl w:val="0"/>
                <w:numId w:val="2"/>
              </w:numPr>
              <w:spacing w:after="80"/>
            </w:pPr>
            <w:r>
              <w:rPr>
                <w:rFonts w:ascii="Arial" w:cs="Arial" w:eastAsia="Arial" w:hAnsi="Arial"/>
                <w:b/>
                <w:bCs/>
                <w:color w:val="1E8449"/>
                <w:sz w:val="17"/>
                <w:szCs w:val="17"/>
              </w:rPr>
              <w:t xml:space="preserve">Verify PostgreSQL encryption at rest: </w:t>
            </w:r>
            <w:r>
              <w:rPr>
                <w:rFonts w:ascii="Arial" w:cs="Arial" w:eastAsia="Arial" w:hAnsi="Arial"/>
                <w:color w:val="1E8449"/>
                <w:sz w:val="17"/>
                <w:szCs w:val="17"/>
              </w:rPr>
              <w:t xml:space="preserve">Ask your infrastructure engineer to confirm the PostgreSQL volume is encrypted at rest (most managed providers such as RDS or Supabase enable this by default — confirm it is not disabled). For health_status specifically, consider field-level encryption.</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9360"/>
            <w:gridSpan w:val="2"/>
            <w:tcBorders>
              <w:top w:val="none" w:color="FFFFFF" w:sz="0"/>
              <w:left w:val="none" w:color="FFFFFF" w:sz="0"/>
              <w:bottom w:val="none" w:color="FFFFFF" w:sz="0"/>
              <w:right w:val="none" w:color="FFFFFF" w:sz="0"/>
            </w:tcBorders>
            <w:shd w:fill="1A3A5C" w:val="clear"/>
            <w:tcMar>
              <w:top w:type="dxa" w:w="100"/>
              <w:left w:type="dxa" w:w="140"/>
              <w:bottom w:type="dxa" w:w="100"/>
              <w:right w:type="dxa" w:w="140"/>
            </w:tcMar>
          </w:tcPr>
          <w:p>
            <w:r>
              <w:rPr>
                <w:rFonts w:ascii="Arial" w:cs="Arial" w:eastAsia="Arial" w:hAnsi="Arial"/>
                <w:b/>
                <w:bCs/>
                <w:color w:val="FFFFFF"/>
                <w:sz w:val="22"/>
                <w:szCs w:val="22"/>
              </w:rPr>
              <w:t xml:space="preserve">10. Access governance</w:t>
            </w:r>
          </w:p>
        </w:tc>
      </w:tr>
      <w:tr>
        <w:tc>
          <w:tcPr>
            <w:tcW w:type="dxa" w:w="9360"/>
            <w:gridSpan w:val="2"/>
            <w:tcBorders>
              <w:top w:val="none" w:color="FFFFFF" w:sz="0"/>
              <w:left w:val="none" w:color="FFFFFF" w:sz="0"/>
              <w:bottom w:val="single" w:color="AAAAAA" w:sz="1"/>
              <w:right w:val="none" w:color="FFFFFF" w:sz="0"/>
            </w:tcBorders>
            <w:shd w:fill="EBF5FB" w:val="clear"/>
            <w:tcMar>
              <w:top w:type="dxa" w:w="60"/>
              <w:left w:type="dxa" w:w="140"/>
              <w:bottom w:type="dxa" w:w="60"/>
              <w:right w:type="dxa" w:w="140"/>
            </w:tcMar>
          </w:tcPr>
          <w:p>
            <w:r>
              <w:rPr>
                <w:rFonts w:ascii="Arial" w:cs="Arial" w:eastAsia="Arial" w:hAnsi="Arial"/>
                <w:b/>
                <w:bCs/>
                <w:color w:val="1C2833"/>
                <w:sz w:val="17"/>
                <w:szCs w:val="17"/>
              </w:rPr>
              <w:t xml:space="preserve">Owner: </w:t>
            </w:r>
            <w:r>
              <w:rPr>
                <w:rFonts w:ascii="Arial" w:cs="Arial" w:eastAsia="Arial" w:hAnsi="Arial"/>
                <w:color w:val="1C2833"/>
                <w:sz w:val="17"/>
                <w:szCs w:val="17"/>
              </w:rPr>
              <w:t xml:space="preserve">Engineering   </w:t>
            </w:r>
            <w:r>
              <w:rPr>
                <w:rFonts w:ascii="Arial" w:cs="Arial" w:eastAsia="Arial" w:hAnsi="Arial"/>
                <w:b/>
                <w:bCs/>
                <w:color w:val="1C2833"/>
                <w:sz w:val="17"/>
                <w:szCs w:val="17"/>
              </w:rPr>
              <w:t xml:space="preserve">Severity: </w:t>
            </w:r>
            <w:r>
              <w:rPr>
                <w:rFonts w:ascii="Arial" w:cs="Arial" w:eastAsia="Arial" w:hAnsi="Arial"/>
                <w:b/>
                <w:bCs/>
                <w:color w:val="5D6D7E"/>
                <w:sz w:val="17"/>
                <w:szCs w:val="17"/>
              </w:rPr>
              <w:t xml:space="preserve">🟡 Medium   </w:t>
            </w:r>
            <w:r>
              <w:rPr>
                <w:rFonts w:ascii="Arial" w:cs="Arial" w:eastAsia="Arial" w:hAnsi="Arial"/>
                <w:b/>
                <w:bCs/>
                <w:color w:val="1C2833"/>
                <w:sz w:val="17"/>
                <w:szCs w:val="17"/>
              </w:rPr>
              <w:t xml:space="preserve">Articles: </w:t>
            </w:r>
            <w:r>
              <w:rPr>
                <w:rFonts w:ascii="Arial" w:cs="Arial" w:eastAsia="Arial" w:hAnsi="Arial"/>
                <w:i/>
                <w:iCs/>
                <w:color w:val="5D6D7E"/>
                <w:sz w:val="17"/>
                <w:szCs w:val="17"/>
              </w:rPr>
              <w:t xml:space="preserve">Art. 32   </w:t>
            </w:r>
            <w:r>
              <w:rPr>
                <w:rFonts w:ascii="Arial" w:cs="Arial" w:eastAsia="Arial" w:hAnsi="Arial"/>
                <w:b/>
                <w:bCs/>
                <w:color w:val="1C2833"/>
                <w:sz w:val="17"/>
                <w:szCs w:val="17"/>
              </w:rPr>
              <w:t xml:space="preserve">Document: </w:t>
            </w:r>
            <w:r>
              <w:rPr>
                <w:rFonts w:ascii="Arial" w:cs="Arial" w:eastAsia="Arial" w:hAnsi="Arial"/>
                <w:i/>
                <w:iCs/>
                <w:color w:val="1A5276"/>
                <w:sz w:val="17"/>
                <w:szCs w:val="17"/>
              </w:rPr>
              <w:t xml:space="preserve">access-governance-acme-2025.docx</w:t>
            </w:r>
          </w:p>
        </w:tc>
      </w:tr>
      <w:tr>
        <w:tc>
          <w:tcPr>
            <w:tcW w:type="dxa" w:w="4680"/>
            <w:tcBorders>
              <w:top w:val="none" w:color="FFFFFF" w:sz="0"/>
              <w:left w:val="none" w:color="FFFFFF" w:sz="0"/>
              <w:bottom w:val="none" w:color="FFFFFF" w:sz="0"/>
              <w:right w:val="none" w:color="FFFFFF" w:sz="0"/>
            </w:tcBorders>
            <w:shd w:fill="FADBD8" w:val="clear"/>
            <w:tcMar>
              <w:top w:type="dxa" w:w="60"/>
              <w:left w:type="dxa" w:w="140"/>
              <w:bottom w:type="dxa" w:w="40"/>
              <w:right w:type="dxa" w:w="140"/>
            </w:tcMar>
          </w:tcPr>
          <w:p>
            <w:r>
              <w:rPr>
                <w:rFonts w:ascii="Arial" w:cs="Arial" w:eastAsia="Arial" w:hAnsi="Arial"/>
                <w:b/>
                <w:bCs/>
                <w:color w:val="C0392B"/>
                <w:sz w:val="18"/>
                <w:szCs w:val="18"/>
              </w:rPr>
              <w:t xml:space="preserve">What's wrong</w:t>
            </w:r>
          </w:p>
        </w:tc>
        <w:tc>
          <w:tcPr>
            <w:tcW w:type="dxa" w:w="4680"/>
            <w:tcBorders>
              <w:top w:val="none" w:color="FFFFFF" w:sz="0"/>
              <w:left w:val="none" w:color="FFFFFF" w:sz="0"/>
              <w:bottom w:val="none" w:color="FFFFFF" w:sz="0"/>
              <w:right w:val="none" w:color="FFFFFF" w:sz="0"/>
            </w:tcBorders>
            <w:shd w:fill="D5F5E3" w:val="clear"/>
            <w:tcMar>
              <w:top w:type="dxa" w:w="60"/>
              <w:left w:type="dxa" w:w="140"/>
              <w:bottom w:type="dxa" w:w="40"/>
              <w:right w:type="dxa" w:w="140"/>
            </w:tcMar>
          </w:tcPr>
          <w:p>
            <w:r>
              <w:rPr>
                <w:rFonts w:ascii="Arial" w:cs="Arial" w:eastAsia="Arial" w:hAnsi="Arial"/>
                <w:b/>
                <w:bCs/>
                <w:color w:val="1E8449"/>
                <w:sz w:val="18"/>
                <w:szCs w:val="18"/>
              </w:rPr>
              <w:t xml:space="preserve">What to do</w:t>
            </w:r>
          </w:p>
        </w:tc>
      </w:tr>
      <w:tr>
        <w:tc>
          <w:tcPr>
            <w:tcW w:type="dxa" w:w="4680"/>
            <w:tcBorders>
              <w:top w:val="none" w:color="FFFFFF" w:sz="0"/>
              <w:left w:val="none" w:color="FFFFFF" w:sz="0"/>
              <w:bottom w:val="single" w:color="C0392B" w:sz="1"/>
              <w:right w:val="single" w:color="AAAAAA" w:sz="1"/>
            </w:tcBorders>
            <w:shd w:fill="FADBD8"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C0392B"/>
                <w:sz w:val="17"/>
                <w:szCs w:val="17"/>
              </w:rPr>
              <w:t xml:space="preserve">No access register: </w:t>
            </w:r>
            <w:r>
              <w:rPr>
                <w:rFonts w:ascii="Arial" w:cs="Arial" w:eastAsia="Arial" w:hAnsi="Arial"/>
                <w:color w:val="C0392B"/>
                <w:sz w:val="17"/>
                <w:szCs w:val="17"/>
              </w:rPr>
              <w:t xml:space="preserve">There is no documented record of who has access to which systems — production database, cloud console, admin panel, analytics tools, and support tooling. Without an inventory, it is impossible to audit or revoke access when someone leaves the company.</w:t>
            </w:r>
          </w:p>
          <w:p>
            <w:pPr>
              <w:pStyle w:val="ListParagraph"/>
              <w:numPr>
                <w:ilvl w:val="0"/>
                <w:numId w:val="2"/>
              </w:numPr>
              <w:spacing w:after="80"/>
            </w:pPr>
            <w:r>
              <w:rPr>
                <w:rFonts w:ascii="Arial" w:cs="Arial" w:eastAsia="Arial" w:hAnsi="Arial"/>
                <w:b/>
                <w:bCs/>
                <w:color w:val="C0392B"/>
                <w:sz w:val="17"/>
                <w:szCs w:val="17"/>
              </w:rPr>
              <w:t xml:space="preserve">No quarterly access review: </w:t>
            </w:r>
            <w:r>
              <w:rPr>
                <w:rFonts w:ascii="Arial" w:cs="Arial" w:eastAsia="Arial" w:hAnsi="Arial"/>
                <w:color w:val="C0392B"/>
                <w:sz w:val="17"/>
                <w:szCs w:val="17"/>
              </w:rPr>
              <w:t xml:space="preserve">There is no process for periodically checking whether access is still appropriate. Stale access from former employees or contractors is one of the most common causes of preventable data breaches.</w:t>
            </w:r>
          </w:p>
        </w:tc>
        <w:tc>
          <w:tcPr>
            <w:tcW w:type="dxa" w:w="4680"/>
            <w:tcBorders>
              <w:top w:val="none" w:color="FFFFFF" w:sz="0"/>
              <w:left w:val="none" w:color="FFFFFF" w:sz="0"/>
              <w:bottom w:val="single" w:color="1E8449" w:sz="1"/>
              <w:right w:val="none" w:color="FFFFFF" w:sz="0"/>
            </w:tcBorders>
            <w:shd w:fill="D5F5E3"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1E8449"/>
                <w:sz w:val="17"/>
                <w:szCs w:val="17"/>
              </w:rPr>
              <w:t xml:space="preserve">Create an access register: </w:t>
            </w:r>
            <w:r>
              <w:rPr>
                <w:rFonts w:ascii="Arial" w:cs="Arial" w:eastAsia="Arial" w:hAnsi="Arial"/>
                <w:color w:val="1E8449"/>
                <w:sz w:val="17"/>
                <w:szCs w:val="17"/>
              </w:rPr>
              <w:t xml:space="preserve">Use the attached access-governance-acme-2025.docx, pre-populated with system tiers found in the codebase (DB, cloud console, admin panel, Sentry, analytics). Each row records who has access, at what level, and when it was last reviewed.</w:t>
            </w:r>
          </w:p>
          <w:p>
            <w:pPr>
              <w:pStyle w:val="ListParagraph"/>
              <w:numPr>
                <w:ilvl w:val="0"/>
                <w:numId w:val="2"/>
              </w:numPr>
              <w:spacing w:after="80"/>
            </w:pPr>
            <w:r>
              <w:rPr>
                <w:rFonts w:ascii="Arial" w:cs="Arial" w:eastAsia="Arial" w:hAnsi="Arial"/>
                <w:b/>
                <w:bCs/>
                <w:color w:val="1E8449"/>
                <w:sz w:val="17"/>
                <w:szCs w:val="17"/>
              </w:rPr>
              <w:t xml:space="preserve">Schedule quarterly reviews: </w:t>
            </w:r>
            <w:r>
              <w:rPr>
                <w:rFonts w:ascii="Arial" w:cs="Arial" w:eastAsia="Arial" w:hAnsi="Arial"/>
                <w:color w:val="1E8449"/>
                <w:sz w:val="17"/>
                <w:szCs w:val="17"/>
              </w:rPr>
              <w:t xml:space="preserve">Ask your engineering lead to own a quarterly access review: pull the current user list from each system, compare against the current team roster, and revoke any stale access. Log each review in the register.</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9360"/>
            <w:gridSpan w:val="2"/>
            <w:tcBorders>
              <w:top w:val="none" w:color="FFFFFF" w:sz="0"/>
              <w:left w:val="none" w:color="FFFFFF" w:sz="0"/>
              <w:bottom w:val="none" w:color="FFFFFF" w:sz="0"/>
              <w:right w:val="none" w:color="FFFFFF" w:sz="0"/>
            </w:tcBorders>
            <w:shd w:fill="1A3A5C" w:val="clear"/>
            <w:tcMar>
              <w:top w:type="dxa" w:w="100"/>
              <w:left w:type="dxa" w:w="140"/>
              <w:bottom w:type="dxa" w:w="100"/>
              <w:right w:type="dxa" w:w="140"/>
            </w:tcMar>
          </w:tcPr>
          <w:p>
            <w:r>
              <w:rPr>
                <w:rFonts w:ascii="Arial" w:cs="Arial" w:eastAsia="Arial" w:hAnsi="Arial"/>
                <w:b/>
                <w:bCs/>
                <w:color w:val="FFFFFF"/>
                <w:sz w:val="22"/>
                <w:szCs w:val="22"/>
              </w:rPr>
              <w:t xml:space="preserve">11. Privacy by design &amp; default</w:t>
            </w:r>
          </w:p>
        </w:tc>
      </w:tr>
      <w:tr>
        <w:tc>
          <w:tcPr>
            <w:tcW w:type="dxa" w:w="9360"/>
            <w:gridSpan w:val="2"/>
            <w:tcBorders>
              <w:top w:val="none" w:color="FFFFFF" w:sz="0"/>
              <w:left w:val="none" w:color="FFFFFF" w:sz="0"/>
              <w:bottom w:val="single" w:color="AAAAAA" w:sz="1"/>
              <w:right w:val="none" w:color="FFFFFF" w:sz="0"/>
            </w:tcBorders>
            <w:shd w:fill="EBF5FB" w:val="clear"/>
            <w:tcMar>
              <w:top w:type="dxa" w:w="60"/>
              <w:left w:type="dxa" w:w="140"/>
              <w:bottom w:type="dxa" w:w="60"/>
              <w:right w:type="dxa" w:w="140"/>
            </w:tcMar>
          </w:tcPr>
          <w:p>
            <w:r>
              <w:rPr>
                <w:rFonts w:ascii="Arial" w:cs="Arial" w:eastAsia="Arial" w:hAnsi="Arial"/>
                <w:b/>
                <w:bCs/>
                <w:color w:val="1C2833"/>
                <w:sz w:val="17"/>
                <w:szCs w:val="17"/>
              </w:rPr>
              <w:t xml:space="preserve">Owner: </w:t>
            </w:r>
            <w:r>
              <w:rPr>
                <w:rFonts w:ascii="Arial" w:cs="Arial" w:eastAsia="Arial" w:hAnsi="Arial"/>
                <w:color w:val="1C2833"/>
                <w:sz w:val="17"/>
                <w:szCs w:val="17"/>
              </w:rPr>
              <w:t xml:space="preserve">Engineering   </w:t>
            </w:r>
            <w:r>
              <w:rPr>
                <w:rFonts w:ascii="Arial" w:cs="Arial" w:eastAsia="Arial" w:hAnsi="Arial"/>
                <w:b/>
                <w:bCs/>
                <w:color w:val="1C2833"/>
                <w:sz w:val="17"/>
                <w:szCs w:val="17"/>
              </w:rPr>
              <w:t xml:space="preserve">Severity: </w:t>
            </w:r>
            <w:r>
              <w:rPr>
                <w:rFonts w:ascii="Arial" w:cs="Arial" w:eastAsia="Arial" w:hAnsi="Arial"/>
                <w:b/>
                <w:bCs/>
                <w:color w:val="5D6D7E"/>
                <w:sz w:val="17"/>
                <w:szCs w:val="17"/>
              </w:rPr>
              <w:t xml:space="preserve">🟡 Medium   </w:t>
            </w:r>
            <w:r>
              <w:rPr>
                <w:rFonts w:ascii="Arial" w:cs="Arial" w:eastAsia="Arial" w:hAnsi="Arial"/>
                <w:b/>
                <w:bCs/>
                <w:color w:val="1C2833"/>
                <w:sz w:val="17"/>
                <w:szCs w:val="17"/>
              </w:rPr>
              <w:t xml:space="preserve">Articles: </w:t>
            </w:r>
            <w:r>
              <w:rPr>
                <w:rFonts w:ascii="Arial" w:cs="Arial" w:eastAsia="Arial" w:hAnsi="Arial"/>
                <w:i/>
                <w:iCs/>
                <w:color w:val="5D6D7E"/>
                <w:sz w:val="17"/>
                <w:szCs w:val="17"/>
              </w:rPr>
              <w:t xml:space="preserve">Art. 25   </w:t>
            </w:r>
            <w:r>
              <w:rPr>
                <w:rFonts w:ascii="Arial" w:cs="Arial" w:eastAsia="Arial" w:hAnsi="Arial"/>
                <w:b/>
                <w:bCs/>
                <w:color w:val="1C2833"/>
                <w:sz w:val="17"/>
                <w:szCs w:val="17"/>
              </w:rPr>
              <w:t xml:space="preserve">Document: </w:t>
            </w:r>
            <w:r>
              <w:rPr>
                <w:rFonts w:ascii="Arial" w:cs="Arial" w:eastAsia="Arial" w:hAnsi="Arial"/>
                <w:i/>
                <w:iCs/>
                <w:color w:val="1A5276"/>
                <w:sz w:val="17"/>
                <w:szCs w:val="17"/>
              </w:rPr>
              <w:t xml:space="preserve">—</w:t>
            </w:r>
          </w:p>
        </w:tc>
      </w:tr>
      <w:tr>
        <w:tc>
          <w:tcPr>
            <w:tcW w:type="dxa" w:w="4680"/>
            <w:tcBorders>
              <w:top w:val="none" w:color="FFFFFF" w:sz="0"/>
              <w:left w:val="none" w:color="FFFFFF" w:sz="0"/>
              <w:bottom w:val="none" w:color="FFFFFF" w:sz="0"/>
              <w:right w:val="none" w:color="FFFFFF" w:sz="0"/>
            </w:tcBorders>
            <w:shd w:fill="FADBD8" w:val="clear"/>
            <w:tcMar>
              <w:top w:type="dxa" w:w="60"/>
              <w:left w:type="dxa" w:w="140"/>
              <w:bottom w:type="dxa" w:w="40"/>
              <w:right w:type="dxa" w:w="140"/>
            </w:tcMar>
          </w:tcPr>
          <w:p>
            <w:r>
              <w:rPr>
                <w:rFonts w:ascii="Arial" w:cs="Arial" w:eastAsia="Arial" w:hAnsi="Arial"/>
                <w:b/>
                <w:bCs/>
                <w:color w:val="C0392B"/>
                <w:sz w:val="18"/>
                <w:szCs w:val="18"/>
              </w:rPr>
              <w:t xml:space="preserve">What's wrong</w:t>
            </w:r>
          </w:p>
        </w:tc>
        <w:tc>
          <w:tcPr>
            <w:tcW w:type="dxa" w:w="4680"/>
            <w:tcBorders>
              <w:top w:val="none" w:color="FFFFFF" w:sz="0"/>
              <w:left w:val="none" w:color="FFFFFF" w:sz="0"/>
              <w:bottom w:val="none" w:color="FFFFFF" w:sz="0"/>
              <w:right w:val="none" w:color="FFFFFF" w:sz="0"/>
            </w:tcBorders>
            <w:shd w:fill="D5F5E3" w:val="clear"/>
            <w:tcMar>
              <w:top w:type="dxa" w:w="60"/>
              <w:left w:type="dxa" w:w="140"/>
              <w:bottom w:type="dxa" w:w="40"/>
              <w:right w:type="dxa" w:w="140"/>
            </w:tcMar>
          </w:tcPr>
          <w:p>
            <w:r>
              <w:rPr>
                <w:rFonts w:ascii="Arial" w:cs="Arial" w:eastAsia="Arial" w:hAnsi="Arial"/>
                <w:b/>
                <w:bCs/>
                <w:color w:val="1E8449"/>
                <w:sz w:val="18"/>
                <w:szCs w:val="18"/>
              </w:rPr>
              <w:t xml:space="preserve">What to do</w:t>
            </w:r>
          </w:p>
        </w:tc>
      </w:tr>
      <w:tr>
        <w:tc>
          <w:tcPr>
            <w:tcW w:type="dxa" w:w="4680"/>
            <w:tcBorders>
              <w:top w:val="none" w:color="FFFFFF" w:sz="0"/>
              <w:left w:val="none" w:color="FFFFFF" w:sz="0"/>
              <w:bottom w:val="single" w:color="C0392B" w:sz="1"/>
              <w:right w:val="single" w:color="AAAAAA" w:sz="1"/>
            </w:tcBorders>
            <w:shd w:fill="FADBD8"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C0392B"/>
                <w:sz w:val="17"/>
                <w:szCs w:val="17"/>
              </w:rPr>
              <w:t xml:space="preserve">User profiles default to public: </w:t>
            </w:r>
            <w:r>
              <w:rPr>
                <w:rFonts w:ascii="Arial" w:cs="Arial" w:eastAsia="Arial" w:hAnsi="Arial"/>
                <w:color w:val="C0392B"/>
                <w:sz w:val="17"/>
                <w:szCs w:val="17"/>
              </w:rPr>
              <w:t xml:space="preserve">New user profiles are visible to all other users by default. Art. 25 requires the most privacy-protective setting to be the starting point — 'privacy by default' means users should opt in to sharing, not opt out.</w:t>
            </w:r>
          </w:p>
          <w:p>
            <w:pPr>
              <w:pStyle w:val="ListParagraph"/>
              <w:numPr>
                <w:ilvl w:val="0"/>
                <w:numId w:val="2"/>
              </w:numPr>
              <w:spacing w:after="80"/>
            </w:pPr>
            <w:r>
              <w:rPr>
                <w:rFonts w:ascii="Arial" w:cs="Arial" w:eastAsia="Arial" w:hAnsi="Arial"/>
                <w:b/>
                <w:bCs/>
                <w:color w:val="C0392B"/>
                <w:sz w:val="17"/>
                <w:szCs w:val="17"/>
              </w:rPr>
              <w:t xml:space="preserve">Email address in URL parameter: </w:t>
            </w:r>
            <w:r>
              <w:rPr>
                <w:rFonts w:ascii="Arial" w:cs="Arial" w:eastAsia="Arial" w:hAnsi="Arial"/>
                <w:color w:val="C0392B"/>
                <w:sz w:val="17"/>
                <w:szCs w:val="17"/>
              </w:rPr>
              <w:t xml:space="preserve">The route /user/:email uses the user's email address as a URL identifier. URLs are logged by servers, browsers, and third-party analytics tools — email addresses are being recorded in places they were never intended to appear.</w:t>
            </w:r>
          </w:p>
        </w:tc>
        <w:tc>
          <w:tcPr>
            <w:tcW w:type="dxa" w:w="4680"/>
            <w:tcBorders>
              <w:top w:val="none" w:color="FFFFFF" w:sz="0"/>
              <w:left w:val="none" w:color="FFFFFF" w:sz="0"/>
              <w:bottom w:val="single" w:color="1E8449" w:sz="1"/>
              <w:right w:val="none" w:color="FFFFFF" w:sz="0"/>
            </w:tcBorders>
            <w:shd w:fill="D5F5E3"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1E8449"/>
                <w:sz w:val="17"/>
                <w:szCs w:val="17"/>
              </w:rPr>
              <w:t xml:space="preserve">Flip profile default to private: </w:t>
            </w:r>
            <w:r>
              <w:rPr>
                <w:rFonts w:ascii="Arial" w:cs="Arial" w:eastAsia="Arial" w:hAnsi="Arial"/>
                <w:color w:val="1E8449"/>
                <w:sz w:val="17"/>
                <w:szCs w:val="17"/>
              </w:rPr>
              <w:t xml:space="preserve">Ask your engineer to change the default value of profile_visibility from 'public' to 'private'. Users who want a public profile can opt in explicitly.</w:t>
            </w:r>
          </w:p>
          <w:p>
            <w:pPr>
              <w:pStyle w:val="ListParagraph"/>
              <w:numPr>
                <w:ilvl w:val="0"/>
                <w:numId w:val="2"/>
              </w:numPr>
              <w:spacing w:after="80"/>
            </w:pPr>
            <w:r>
              <w:rPr>
                <w:rFonts w:ascii="Arial" w:cs="Arial" w:eastAsia="Arial" w:hAnsi="Arial"/>
                <w:b/>
                <w:bCs/>
                <w:color w:val="1E8449"/>
                <w:sz w:val="17"/>
                <w:szCs w:val="17"/>
              </w:rPr>
              <w:t xml:space="preserve">Replace email in URL with opaque ID: </w:t>
            </w:r>
            <w:r>
              <w:rPr>
                <w:rFonts w:ascii="Arial" w:cs="Arial" w:eastAsia="Arial" w:hAnsi="Arial"/>
                <w:color w:val="1E8449"/>
                <w:sz w:val="17"/>
                <w:szCs w:val="17"/>
              </w:rPr>
              <w:t xml:space="preserve">Ask your engineer to replace /user/:email with /user/:id using the user's internal UUID. Update any links, redirects, or API calls that reference the email-based route. This is typically a 1–2 hour change.</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9360"/>
            <w:gridSpan w:val="2"/>
            <w:tcBorders>
              <w:top w:val="none" w:color="FFFFFF" w:sz="0"/>
              <w:left w:val="none" w:color="FFFFFF" w:sz="0"/>
              <w:bottom w:val="none" w:color="FFFFFF" w:sz="0"/>
              <w:right w:val="none" w:color="FFFFFF" w:sz="0"/>
            </w:tcBorders>
            <w:shd w:fill="1A3A5C" w:val="clear"/>
            <w:tcMar>
              <w:top w:type="dxa" w:w="100"/>
              <w:left w:type="dxa" w:w="140"/>
              <w:bottom w:type="dxa" w:w="100"/>
              <w:right w:type="dxa" w:w="140"/>
            </w:tcMar>
          </w:tcPr>
          <w:p>
            <w:r>
              <w:rPr>
                <w:rFonts w:ascii="Arial" w:cs="Arial" w:eastAsia="Arial" w:hAnsi="Arial"/>
                <w:b/>
                <w:bCs/>
                <w:color w:val="FFFFFF"/>
                <w:sz w:val="22"/>
                <w:szCs w:val="22"/>
              </w:rPr>
              <w:t xml:space="preserve">12. DPIA</w:t>
            </w:r>
          </w:p>
        </w:tc>
      </w:tr>
      <w:tr>
        <w:tc>
          <w:tcPr>
            <w:tcW w:type="dxa" w:w="9360"/>
            <w:gridSpan w:val="2"/>
            <w:tcBorders>
              <w:top w:val="none" w:color="FFFFFF" w:sz="0"/>
              <w:left w:val="none" w:color="FFFFFF" w:sz="0"/>
              <w:bottom w:val="single" w:color="AAAAAA" w:sz="1"/>
              <w:right w:val="none" w:color="FFFFFF" w:sz="0"/>
            </w:tcBorders>
            <w:shd w:fill="EBF5FB" w:val="clear"/>
            <w:tcMar>
              <w:top w:type="dxa" w:w="60"/>
              <w:left w:type="dxa" w:w="140"/>
              <w:bottom w:type="dxa" w:w="60"/>
              <w:right w:type="dxa" w:w="140"/>
            </w:tcMar>
          </w:tcPr>
          <w:p>
            <w:r>
              <w:rPr>
                <w:rFonts w:ascii="Arial" w:cs="Arial" w:eastAsia="Arial" w:hAnsi="Arial"/>
                <w:b/>
                <w:bCs/>
                <w:color w:val="1C2833"/>
                <w:sz w:val="17"/>
                <w:szCs w:val="17"/>
              </w:rPr>
              <w:t xml:space="preserve">Owner: </w:t>
            </w:r>
            <w:r>
              <w:rPr>
                <w:rFonts w:ascii="Arial" w:cs="Arial" w:eastAsia="Arial" w:hAnsi="Arial"/>
                <w:color w:val="1C2833"/>
                <w:sz w:val="17"/>
                <w:szCs w:val="17"/>
              </w:rPr>
              <w:t xml:space="preserve">DPO   </w:t>
            </w:r>
            <w:r>
              <w:rPr>
                <w:rFonts w:ascii="Arial" w:cs="Arial" w:eastAsia="Arial" w:hAnsi="Arial"/>
                <w:b/>
                <w:bCs/>
                <w:color w:val="1C2833"/>
                <w:sz w:val="17"/>
                <w:szCs w:val="17"/>
              </w:rPr>
              <w:t xml:space="preserve">Severity: </w:t>
            </w:r>
            <w:r>
              <w:rPr>
                <w:rFonts w:ascii="Arial" w:cs="Arial" w:eastAsia="Arial" w:hAnsi="Arial"/>
                <w:b/>
                <w:bCs/>
                <w:color w:val="E67E22"/>
                <w:sz w:val="17"/>
                <w:szCs w:val="17"/>
              </w:rPr>
              <w:t xml:space="preserve">🟠 High   </w:t>
            </w:r>
            <w:r>
              <w:rPr>
                <w:rFonts w:ascii="Arial" w:cs="Arial" w:eastAsia="Arial" w:hAnsi="Arial"/>
                <w:b/>
                <w:bCs/>
                <w:color w:val="1C2833"/>
                <w:sz w:val="17"/>
                <w:szCs w:val="17"/>
              </w:rPr>
              <w:t xml:space="preserve">Articles: </w:t>
            </w:r>
            <w:r>
              <w:rPr>
                <w:rFonts w:ascii="Arial" w:cs="Arial" w:eastAsia="Arial" w:hAnsi="Arial"/>
                <w:i/>
                <w:iCs/>
                <w:color w:val="5D6D7E"/>
                <w:sz w:val="17"/>
                <w:szCs w:val="17"/>
              </w:rPr>
              <w:t xml:space="preserve">Arts. 35, 36   </w:t>
            </w:r>
            <w:r>
              <w:rPr>
                <w:rFonts w:ascii="Arial" w:cs="Arial" w:eastAsia="Arial" w:hAnsi="Arial"/>
                <w:b/>
                <w:bCs/>
                <w:color w:val="1C2833"/>
                <w:sz w:val="17"/>
                <w:szCs w:val="17"/>
              </w:rPr>
              <w:t xml:space="preserve">Document: </w:t>
            </w:r>
            <w:r>
              <w:rPr>
                <w:rFonts w:ascii="Arial" w:cs="Arial" w:eastAsia="Arial" w:hAnsi="Arial"/>
                <w:i/>
                <w:iCs/>
                <w:color w:val="1A5276"/>
                <w:sz w:val="17"/>
                <w:szCs w:val="17"/>
              </w:rPr>
              <w:t xml:space="preserve">dpia-health-data-acme-2025.docx</w:t>
            </w:r>
          </w:p>
        </w:tc>
      </w:tr>
      <w:tr>
        <w:tc>
          <w:tcPr>
            <w:tcW w:type="dxa" w:w="4680"/>
            <w:tcBorders>
              <w:top w:val="none" w:color="FFFFFF" w:sz="0"/>
              <w:left w:val="none" w:color="FFFFFF" w:sz="0"/>
              <w:bottom w:val="none" w:color="FFFFFF" w:sz="0"/>
              <w:right w:val="none" w:color="FFFFFF" w:sz="0"/>
            </w:tcBorders>
            <w:shd w:fill="FADBD8" w:val="clear"/>
            <w:tcMar>
              <w:top w:type="dxa" w:w="60"/>
              <w:left w:type="dxa" w:w="140"/>
              <w:bottom w:type="dxa" w:w="40"/>
              <w:right w:type="dxa" w:w="140"/>
            </w:tcMar>
          </w:tcPr>
          <w:p>
            <w:r>
              <w:rPr>
                <w:rFonts w:ascii="Arial" w:cs="Arial" w:eastAsia="Arial" w:hAnsi="Arial"/>
                <w:b/>
                <w:bCs/>
                <w:color w:val="C0392B"/>
                <w:sz w:val="18"/>
                <w:szCs w:val="18"/>
              </w:rPr>
              <w:t xml:space="preserve">What's wrong</w:t>
            </w:r>
          </w:p>
        </w:tc>
        <w:tc>
          <w:tcPr>
            <w:tcW w:type="dxa" w:w="4680"/>
            <w:tcBorders>
              <w:top w:val="none" w:color="FFFFFF" w:sz="0"/>
              <w:left w:val="none" w:color="FFFFFF" w:sz="0"/>
              <w:bottom w:val="none" w:color="FFFFFF" w:sz="0"/>
              <w:right w:val="none" w:color="FFFFFF" w:sz="0"/>
            </w:tcBorders>
            <w:shd w:fill="D5F5E3" w:val="clear"/>
            <w:tcMar>
              <w:top w:type="dxa" w:w="60"/>
              <w:left w:type="dxa" w:w="140"/>
              <w:bottom w:type="dxa" w:w="40"/>
              <w:right w:type="dxa" w:w="140"/>
            </w:tcMar>
          </w:tcPr>
          <w:p>
            <w:r>
              <w:rPr>
                <w:rFonts w:ascii="Arial" w:cs="Arial" w:eastAsia="Arial" w:hAnsi="Arial"/>
                <w:b/>
                <w:bCs/>
                <w:color w:val="1E8449"/>
                <w:sz w:val="18"/>
                <w:szCs w:val="18"/>
              </w:rPr>
              <w:t xml:space="preserve">What to do</w:t>
            </w:r>
          </w:p>
        </w:tc>
      </w:tr>
      <w:tr>
        <w:tc>
          <w:tcPr>
            <w:tcW w:type="dxa" w:w="4680"/>
            <w:tcBorders>
              <w:top w:val="none" w:color="FFFFFF" w:sz="0"/>
              <w:left w:val="none" w:color="FFFFFF" w:sz="0"/>
              <w:bottom w:val="single" w:color="C0392B" w:sz="1"/>
              <w:right w:val="single" w:color="AAAAAA" w:sz="1"/>
            </w:tcBorders>
            <w:shd w:fill="FADBD8"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C0392B"/>
                <w:sz w:val="17"/>
                <w:szCs w:val="17"/>
              </w:rPr>
              <w:t xml:space="preserve">health_status triggers mandatory DPIA: </w:t>
            </w:r>
            <w:r>
              <w:rPr>
                <w:rFonts w:ascii="Arial" w:cs="Arial" w:eastAsia="Arial" w:hAnsi="Arial"/>
                <w:color w:val="C0392B"/>
                <w:sz w:val="17"/>
                <w:szCs w:val="17"/>
              </w:rPr>
              <w:t xml:space="preserve">Processing health data (a special category under Art. 9) triggers a mandatory Data Protection Impact Assessment under Art. 35(3)(b). A DPIA is a formal document that assesses the risks of a processing activity and how they will be mitigated. None has been conducted and processing is ongoing.</w:t>
            </w:r>
          </w:p>
          <w:p>
            <w:pPr>
              <w:pStyle w:val="ListParagraph"/>
              <w:numPr>
                <w:ilvl w:val="0"/>
                <w:numId w:val="2"/>
              </w:numPr>
              <w:spacing w:after="80"/>
            </w:pPr>
            <w:r>
              <w:rPr>
                <w:rFonts w:ascii="Arial" w:cs="Arial" w:eastAsia="Arial" w:hAnsi="Arial"/>
                <w:b/>
                <w:bCs/>
                <w:color w:val="C0392B"/>
                <w:sz w:val="17"/>
                <w:szCs w:val="17"/>
              </w:rPr>
              <w:t xml:space="preserve">No prior consultation procedure: </w:t>
            </w:r>
            <w:r>
              <w:rPr>
                <w:rFonts w:ascii="Arial" w:cs="Arial" w:eastAsia="Arial" w:hAnsi="Arial"/>
                <w:color w:val="C0392B"/>
                <w:sz w:val="17"/>
                <w:szCs w:val="17"/>
              </w:rPr>
              <w:t xml:space="preserve">If a DPIA concludes that residual risk is high and cannot be mitigated, Art. 36 requires consultation with the ICO before processing begins. There is no documented procedure for this scenario.</w:t>
            </w:r>
          </w:p>
        </w:tc>
        <w:tc>
          <w:tcPr>
            <w:tcW w:type="dxa" w:w="4680"/>
            <w:tcBorders>
              <w:top w:val="none" w:color="FFFFFF" w:sz="0"/>
              <w:left w:val="none" w:color="FFFFFF" w:sz="0"/>
              <w:bottom w:val="single" w:color="1E8449" w:sz="1"/>
              <w:right w:val="none" w:color="FFFFFF" w:sz="0"/>
            </w:tcBorders>
            <w:shd w:fill="D5F5E3"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1E8449"/>
                <w:sz w:val="17"/>
                <w:szCs w:val="17"/>
              </w:rPr>
              <w:t xml:space="preserve">Complete the DPIA: </w:t>
            </w:r>
            <w:r>
              <w:rPr>
                <w:rFonts w:ascii="Arial" w:cs="Arial" w:eastAsia="Arial" w:hAnsi="Arial"/>
                <w:color w:val="1E8449"/>
                <w:sz w:val="17"/>
                <w:szCs w:val="17"/>
              </w:rPr>
              <w:t xml:space="preserve">Your DPO should complete the attached dpia-health-data-acme-2025.docx for the health_status processing activity. It covers what data is processed, why it is necessary, what the risks are, and what mitigations are in place. Target completion: within 2 weeks.</w:t>
            </w:r>
          </w:p>
          <w:p>
            <w:pPr>
              <w:pStyle w:val="ListParagraph"/>
              <w:numPr>
                <w:ilvl w:val="0"/>
                <w:numId w:val="2"/>
              </w:numPr>
              <w:spacing w:after="80"/>
            </w:pPr>
            <w:r>
              <w:rPr>
                <w:rFonts w:ascii="Arial" w:cs="Arial" w:eastAsia="Arial" w:hAnsi="Arial"/>
                <w:b/>
                <w:bCs/>
                <w:color w:val="1E8449"/>
                <w:sz w:val="17"/>
                <w:szCs w:val="17"/>
              </w:rPr>
              <w:t xml:space="preserve">Pause if DPIA shows high residual risk: </w:t>
            </w:r>
            <w:r>
              <w:rPr>
                <w:rFonts w:ascii="Arial" w:cs="Arial" w:eastAsia="Arial" w:hAnsi="Arial"/>
                <w:color w:val="1E8449"/>
                <w:sz w:val="17"/>
                <w:szCs w:val="17"/>
              </w:rPr>
              <w:t xml:space="preserve">If the completed DPIA identifies risks that cannot be fully mitigated, do not continue collecting health_status until the ICO has been consulted and has responded. This is a legal requirement under Art. 36.</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9360"/>
            <w:gridSpan w:val="2"/>
            <w:tcBorders>
              <w:top w:val="none" w:color="FFFFFF" w:sz="0"/>
              <w:left w:val="none" w:color="FFFFFF" w:sz="0"/>
              <w:bottom w:val="none" w:color="FFFFFF" w:sz="0"/>
              <w:right w:val="none" w:color="FFFFFF" w:sz="0"/>
            </w:tcBorders>
            <w:shd w:fill="1A3A5C" w:val="clear"/>
            <w:tcMar>
              <w:top w:type="dxa" w:w="100"/>
              <w:left w:type="dxa" w:w="140"/>
              <w:bottom w:type="dxa" w:w="100"/>
              <w:right w:type="dxa" w:w="140"/>
            </w:tcMar>
          </w:tcPr>
          <w:p>
            <w:r>
              <w:rPr>
                <w:rFonts w:ascii="Arial" w:cs="Arial" w:eastAsia="Arial" w:hAnsi="Arial"/>
                <w:b/>
                <w:bCs/>
                <w:color w:val="FFFFFF"/>
                <w:sz w:val="22"/>
                <w:szCs w:val="22"/>
              </w:rPr>
              <w:t xml:space="preserve">13. Breach handling</w:t>
            </w:r>
          </w:p>
        </w:tc>
      </w:tr>
      <w:tr>
        <w:tc>
          <w:tcPr>
            <w:tcW w:type="dxa" w:w="9360"/>
            <w:gridSpan w:val="2"/>
            <w:tcBorders>
              <w:top w:val="none" w:color="FFFFFF" w:sz="0"/>
              <w:left w:val="none" w:color="FFFFFF" w:sz="0"/>
              <w:bottom w:val="single" w:color="AAAAAA" w:sz="1"/>
              <w:right w:val="none" w:color="FFFFFF" w:sz="0"/>
            </w:tcBorders>
            <w:shd w:fill="EBF5FB" w:val="clear"/>
            <w:tcMar>
              <w:top w:type="dxa" w:w="60"/>
              <w:left w:type="dxa" w:w="140"/>
              <w:bottom w:type="dxa" w:w="60"/>
              <w:right w:type="dxa" w:w="140"/>
            </w:tcMar>
          </w:tcPr>
          <w:p>
            <w:r>
              <w:rPr>
                <w:rFonts w:ascii="Arial" w:cs="Arial" w:eastAsia="Arial" w:hAnsi="Arial"/>
                <w:b/>
                <w:bCs/>
                <w:color w:val="1C2833"/>
                <w:sz w:val="17"/>
                <w:szCs w:val="17"/>
              </w:rPr>
              <w:t xml:space="preserve">Owner: </w:t>
            </w:r>
            <w:r>
              <w:rPr>
                <w:rFonts w:ascii="Arial" w:cs="Arial" w:eastAsia="Arial" w:hAnsi="Arial"/>
                <w:color w:val="1C2833"/>
                <w:sz w:val="17"/>
                <w:szCs w:val="17"/>
              </w:rPr>
              <w:t xml:space="preserve">DPO   </w:t>
            </w:r>
            <w:r>
              <w:rPr>
                <w:rFonts w:ascii="Arial" w:cs="Arial" w:eastAsia="Arial" w:hAnsi="Arial"/>
                <w:b/>
                <w:bCs/>
                <w:color w:val="1C2833"/>
                <w:sz w:val="17"/>
                <w:szCs w:val="17"/>
              </w:rPr>
              <w:t xml:space="preserve">Severity: </w:t>
            </w:r>
            <w:r>
              <w:rPr>
                <w:rFonts w:ascii="Arial" w:cs="Arial" w:eastAsia="Arial" w:hAnsi="Arial"/>
                <w:b/>
                <w:bCs/>
                <w:color w:val="5D6D7E"/>
                <w:sz w:val="17"/>
                <w:szCs w:val="17"/>
              </w:rPr>
              <w:t xml:space="preserve">🟡 Medium   </w:t>
            </w:r>
            <w:r>
              <w:rPr>
                <w:rFonts w:ascii="Arial" w:cs="Arial" w:eastAsia="Arial" w:hAnsi="Arial"/>
                <w:b/>
                <w:bCs/>
                <w:color w:val="1C2833"/>
                <w:sz w:val="17"/>
                <w:szCs w:val="17"/>
              </w:rPr>
              <w:t xml:space="preserve">Articles: </w:t>
            </w:r>
            <w:r>
              <w:rPr>
                <w:rFonts w:ascii="Arial" w:cs="Arial" w:eastAsia="Arial" w:hAnsi="Arial"/>
                <w:i/>
                <w:iCs/>
                <w:color w:val="5D6D7E"/>
                <w:sz w:val="17"/>
                <w:szCs w:val="17"/>
              </w:rPr>
              <w:t xml:space="preserve">Arts. 33, 34   </w:t>
            </w:r>
            <w:r>
              <w:rPr>
                <w:rFonts w:ascii="Arial" w:cs="Arial" w:eastAsia="Arial" w:hAnsi="Arial"/>
                <w:b/>
                <w:bCs/>
                <w:color w:val="1C2833"/>
                <w:sz w:val="17"/>
                <w:szCs w:val="17"/>
              </w:rPr>
              <w:t xml:space="preserve">Document: </w:t>
            </w:r>
            <w:r>
              <w:rPr>
                <w:rFonts w:ascii="Arial" w:cs="Arial" w:eastAsia="Arial" w:hAnsi="Arial"/>
                <w:i/>
                <w:iCs/>
                <w:color w:val="1A5276"/>
                <w:sz w:val="17"/>
                <w:szCs w:val="17"/>
              </w:rPr>
              <w:t xml:space="preserve">breach-response-acme-2025.docx</w:t>
            </w:r>
          </w:p>
        </w:tc>
      </w:tr>
      <w:tr>
        <w:tc>
          <w:tcPr>
            <w:tcW w:type="dxa" w:w="4680"/>
            <w:tcBorders>
              <w:top w:val="none" w:color="FFFFFF" w:sz="0"/>
              <w:left w:val="none" w:color="FFFFFF" w:sz="0"/>
              <w:bottom w:val="none" w:color="FFFFFF" w:sz="0"/>
              <w:right w:val="none" w:color="FFFFFF" w:sz="0"/>
            </w:tcBorders>
            <w:shd w:fill="FADBD8" w:val="clear"/>
            <w:tcMar>
              <w:top w:type="dxa" w:w="60"/>
              <w:left w:type="dxa" w:w="140"/>
              <w:bottom w:type="dxa" w:w="40"/>
              <w:right w:type="dxa" w:w="140"/>
            </w:tcMar>
          </w:tcPr>
          <w:p>
            <w:r>
              <w:rPr>
                <w:rFonts w:ascii="Arial" w:cs="Arial" w:eastAsia="Arial" w:hAnsi="Arial"/>
                <w:b/>
                <w:bCs/>
                <w:color w:val="C0392B"/>
                <w:sz w:val="18"/>
                <w:szCs w:val="18"/>
              </w:rPr>
              <w:t xml:space="preserve">What's wrong</w:t>
            </w:r>
          </w:p>
        </w:tc>
        <w:tc>
          <w:tcPr>
            <w:tcW w:type="dxa" w:w="4680"/>
            <w:tcBorders>
              <w:top w:val="none" w:color="FFFFFF" w:sz="0"/>
              <w:left w:val="none" w:color="FFFFFF" w:sz="0"/>
              <w:bottom w:val="none" w:color="FFFFFF" w:sz="0"/>
              <w:right w:val="none" w:color="FFFFFF" w:sz="0"/>
            </w:tcBorders>
            <w:shd w:fill="D5F5E3" w:val="clear"/>
            <w:tcMar>
              <w:top w:type="dxa" w:w="60"/>
              <w:left w:type="dxa" w:w="140"/>
              <w:bottom w:type="dxa" w:w="40"/>
              <w:right w:type="dxa" w:w="140"/>
            </w:tcMar>
          </w:tcPr>
          <w:p>
            <w:r>
              <w:rPr>
                <w:rFonts w:ascii="Arial" w:cs="Arial" w:eastAsia="Arial" w:hAnsi="Arial"/>
                <w:b/>
                <w:bCs/>
                <w:color w:val="1E8449"/>
                <w:sz w:val="18"/>
                <w:szCs w:val="18"/>
              </w:rPr>
              <w:t xml:space="preserve">What to do</w:t>
            </w:r>
          </w:p>
        </w:tc>
      </w:tr>
      <w:tr>
        <w:tc>
          <w:tcPr>
            <w:tcW w:type="dxa" w:w="4680"/>
            <w:tcBorders>
              <w:top w:val="none" w:color="FFFFFF" w:sz="0"/>
              <w:left w:val="none" w:color="FFFFFF" w:sz="0"/>
              <w:bottom w:val="single" w:color="C0392B" w:sz="1"/>
              <w:right w:val="single" w:color="AAAAAA" w:sz="1"/>
            </w:tcBorders>
            <w:shd w:fill="FADBD8"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C0392B"/>
                <w:sz w:val="17"/>
                <w:szCs w:val="17"/>
              </w:rPr>
              <w:t xml:space="preserve">No breach notification runbook: </w:t>
            </w:r>
            <w:r>
              <w:rPr>
                <w:rFonts w:ascii="Arial" w:cs="Arial" w:eastAsia="Arial" w:hAnsi="Arial"/>
                <w:color w:val="C0392B"/>
                <w:sz w:val="17"/>
                <w:szCs w:val="17"/>
              </w:rPr>
              <w:t xml:space="preserve">There is no documented procedure for what to do when a data breach occurs. Under Art. 33 you must notify the ICO within 72 hours of becoming aware of a breach. Without a runbook, this window is almost impossible to meet under incident pressure.</w:t>
            </w:r>
          </w:p>
          <w:p>
            <w:pPr>
              <w:pStyle w:val="ListParagraph"/>
              <w:numPr>
                <w:ilvl w:val="0"/>
                <w:numId w:val="2"/>
              </w:numPr>
              <w:spacing w:after="80"/>
            </w:pPr>
            <w:r>
              <w:rPr>
                <w:rFonts w:ascii="Arial" w:cs="Arial" w:eastAsia="Arial" w:hAnsi="Arial"/>
                <w:b/>
                <w:bCs/>
                <w:color w:val="C0392B"/>
                <w:sz w:val="17"/>
                <w:szCs w:val="17"/>
              </w:rPr>
              <w:t xml:space="preserve">No data subject notification template: </w:t>
            </w:r>
            <w:r>
              <w:rPr>
                <w:rFonts w:ascii="Arial" w:cs="Arial" w:eastAsia="Arial" w:hAnsi="Arial"/>
                <w:color w:val="C0392B"/>
                <w:sz w:val="17"/>
                <w:szCs w:val="17"/>
              </w:rPr>
              <w:t xml:space="preserve">For high-risk breaches — for example if health data is exposed — Art. 34 requires notifying affected users without undue delay. There is no template or process for this.</w:t>
            </w:r>
          </w:p>
        </w:tc>
        <w:tc>
          <w:tcPr>
            <w:tcW w:type="dxa" w:w="4680"/>
            <w:tcBorders>
              <w:top w:val="none" w:color="FFFFFF" w:sz="0"/>
              <w:left w:val="none" w:color="FFFFFF" w:sz="0"/>
              <w:bottom w:val="single" w:color="1E8449" w:sz="1"/>
              <w:right w:val="none" w:color="FFFFFF" w:sz="0"/>
            </w:tcBorders>
            <w:shd w:fill="D5F5E3"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1E8449"/>
                <w:sz w:val="17"/>
                <w:szCs w:val="17"/>
              </w:rPr>
              <w:t xml:space="preserve">Adopt the breach response pack: </w:t>
            </w:r>
            <w:r>
              <w:rPr>
                <w:rFonts w:ascii="Arial" w:cs="Arial" w:eastAsia="Arial" w:hAnsi="Arial"/>
                <w:color w:val="1E8449"/>
                <w:sz w:val="17"/>
                <w:szCs w:val="17"/>
              </w:rPr>
              <w:t xml:space="preserve">Use the attached breach-response-acme-2025.docx, which includes a step-by-step response checklist, the ICO 72-hour notification endpoint pre-filled with your controller details, and a data subject notification template. Assign your DPO as the incident lead.</w:t>
            </w:r>
          </w:p>
          <w:p>
            <w:pPr>
              <w:pStyle w:val="ListParagraph"/>
              <w:numPr>
                <w:ilvl w:val="0"/>
                <w:numId w:val="2"/>
              </w:numPr>
              <w:spacing w:after="80"/>
            </w:pPr>
            <w:r>
              <w:rPr>
                <w:rFonts w:ascii="Arial" w:cs="Arial" w:eastAsia="Arial" w:hAnsi="Arial"/>
                <w:b/>
                <w:bCs/>
                <w:color w:val="1E8449"/>
                <w:sz w:val="17"/>
                <w:szCs w:val="17"/>
              </w:rPr>
              <w:t xml:space="preserve">Run a tabletop drill: </w:t>
            </w:r>
            <w:r>
              <w:rPr>
                <w:rFonts w:ascii="Arial" w:cs="Arial" w:eastAsia="Arial" w:hAnsi="Arial"/>
                <w:color w:val="1E8449"/>
                <w:sz w:val="17"/>
                <w:szCs w:val="17"/>
              </w:rPr>
              <w:t xml:space="preserve">Ask your DPO to run a 30-minute tabletop exercise with engineering and legal: walk through the scenario 'a Sentry log containing email addresses was accessed by an unauthorised party' using the runbook before a real incident occurs.</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9360"/>
            <w:gridSpan w:val="2"/>
            <w:tcBorders>
              <w:top w:val="none" w:color="FFFFFF" w:sz="0"/>
              <w:left w:val="none" w:color="FFFFFF" w:sz="0"/>
              <w:bottom w:val="none" w:color="FFFFFF" w:sz="0"/>
              <w:right w:val="none" w:color="FFFFFF" w:sz="0"/>
            </w:tcBorders>
            <w:shd w:fill="1A3A5C" w:val="clear"/>
            <w:tcMar>
              <w:top w:type="dxa" w:w="100"/>
              <w:left w:type="dxa" w:w="140"/>
              <w:bottom w:type="dxa" w:w="100"/>
              <w:right w:type="dxa" w:w="140"/>
            </w:tcMar>
          </w:tcPr>
          <w:p>
            <w:r>
              <w:rPr>
                <w:rFonts w:ascii="Arial" w:cs="Arial" w:eastAsia="Arial" w:hAnsi="Arial"/>
                <w:b/>
                <w:bCs/>
                <w:color w:val="FFFFFF"/>
                <w:sz w:val="22"/>
                <w:szCs w:val="22"/>
              </w:rPr>
              <w:t xml:space="preserve">14. Governance, DPO &amp; EU representative</w:t>
            </w:r>
          </w:p>
        </w:tc>
      </w:tr>
      <w:tr>
        <w:tc>
          <w:tcPr>
            <w:tcW w:type="dxa" w:w="9360"/>
            <w:gridSpan w:val="2"/>
            <w:tcBorders>
              <w:top w:val="none" w:color="FFFFFF" w:sz="0"/>
              <w:left w:val="none" w:color="FFFFFF" w:sz="0"/>
              <w:bottom w:val="single" w:color="AAAAAA" w:sz="1"/>
              <w:right w:val="none" w:color="FFFFFF" w:sz="0"/>
            </w:tcBorders>
            <w:shd w:fill="EBF5FB" w:val="clear"/>
            <w:tcMar>
              <w:top w:type="dxa" w:w="60"/>
              <w:left w:type="dxa" w:w="140"/>
              <w:bottom w:type="dxa" w:w="60"/>
              <w:right w:type="dxa" w:w="140"/>
            </w:tcMar>
          </w:tcPr>
          <w:p>
            <w:r>
              <w:rPr>
                <w:rFonts w:ascii="Arial" w:cs="Arial" w:eastAsia="Arial" w:hAnsi="Arial"/>
                <w:b/>
                <w:bCs/>
                <w:color w:val="1C2833"/>
                <w:sz w:val="17"/>
                <w:szCs w:val="17"/>
              </w:rPr>
              <w:t xml:space="preserve">Owner: </w:t>
            </w:r>
            <w:r>
              <w:rPr>
                <w:rFonts w:ascii="Arial" w:cs="Arial" w:eastAsia="Arial" w:hAnsi="Arial"/>
                <w:color w:val="1C2833"/>
                <w:sz w:val="17"/>
                <w:szCs w:val="17"/>
              </w:rPr>
              <w:t xml:space="preserve">Legal   </w:t>
            </w:r>
            <w:r>
              <w:rPr>
                <w:rFonts w:ascii="Arial" w:cs="Arial" w:eastAsia="Arial" w:hAnsi="Arial"/>
                <w:b/>
                <w:bCs/>
                <w:color w:val="1C2833"/>
                <w:sz w:val="17"/>
                <w:szCs w:val="17"/>
              </w:rPr>
              <w:t xml:space="preserve">Severity: </w:t>
            </w:r>
            <w:r>
              <w:rPr>
                <w:rFonts w:ascii="Arial" w:cs="Arial" w:eastAsia="Arial" w:hAnsi="Arial"/>
                <w:b/>
                <w:bCs/>
                <w:color w:val="5D6D7E"/>
                <w:sz w:val="17"/>
                <w:szCs w:val="17"/>
              </w:rPr>
              <w:t xml:space="preserve">🟡 Medium   </w:t>
            </w:r>
            <w:r>
              <w:rPr>
                <w:rFonts w:ascii="Arial" w:cs="Arial" w:eastAsia="Arial" w:hAnsi="Arial"/>
                <w:b/>
                <w:bCs/>
                <w:color w:val="1C2833"/>
                <w:sz w:val="17"/>
                <w:szCs w:val="17"/>
              </w:rPr>
              <w:t xml:space="preserve">Articles: </w:t>
            </w:r>
            <w:r>
              <w:rPr>
                <w:rFonts w:ascii="Arial" w:cs="Arial" w:eastAsia="Arial" w:hAnsi="Arial"/>
                <w:i/>
                <w:iCs/>
                <w:color w:val="5D6D7E"/>
                <w:sz w:val="17"/>
                <w:szCs w:val="17"/>
              </w:rPr>
              <w:t xml:space="preserve">Arts. 24, 27, 37, 38, 39   </w:t>
            </w:r>
            <w:r>
              <w:rPr>
                <w:rFonts w:ascii="Arial" w:cs="Arial" w:eastAsia="Arial" w:hAnsi="Arial"/>
                <w:b/>
                <w:bCs/>
                <w:color w:val="1C2833"/>
                <w:sz w:val="17"/>
                <w:szCs w:val="17"/>
              </w:rPr>
              <w:t xml:space="preserve">Document: </w:t>
            </w:r>
            <w:r>
              <w:rPr>
                <w:rFonts w:ascii="Arial" w:cs="Arial" w:eastAsia="Arial" w:hAnsi="Arial"/>
                <w:i/>
                <w:iCs/>
                <w:color w:val="1A5276"/>
                <w:sz w:val="17"/>
                <w:szCs w:val="17"/>
              </w:rPr>
              <w:t xml:space="preserve">—</w:t>
            </w:r>
          </w:p>
        </w:tc>
      </w:tr>
      <w:tr>
        <w:tc>
          <w:tcPr>
            <w:tcW w:type="dxa" w:w="4680"/>
            <w:tcBorders>
              <w:top w:val="none" w:color="FFFFFF" w:sz="0"/>
              <w:left w:val="none" w:color="FFFFFF" w:sz="0"/>
              <w:bottom w:val="none" w:color="FFFFFF" w:sz="0"/>
              <w:right w:val="none" w:color="FFFFFF" w:sz="0"/>
            </w:tcBorders>
            <w:shd w:fill="FADBD8" w:val="clear"/>
            <w:tcMar>
              <w:top w:type="dxa" w:w="60"/>
              <w:left w:type="dxa" w:w="140"/>
              <w:bottom w:type="dxa" w:w="40"/>
              <w:right w:type="dxa" w:w="140"/>
            </w:tcMar>
          </w:tcPr>
          <w:p>
            <w:r>
              <w:rPr>
                <w:rFonts w:ascii="Arial" w:cs="Arial" w:eastAsia="Arial" w:hAnsi="Arial"/>
                <w:b/>
                <w:bCs/>
                <w:color w:val="C0392B"/>
                <w:sz w:val="18"/>
                <w:szCs w:val="18"/>
              </w:rPr>
              <w:t xml:space="preserve">What's wrong</w:t>
            </w:r>
          </w:p>
        </w:tc>
        <w:tc>
          <w:tcPr>
            <w:tcW w:type="dxa" w:w="4680"/>
            <w:tcBorders>
              <w:top w:val="none" w:color="FFFFFF" w:sz="0"/>
              <w:left w:val="none" w:color="FFFFFF" w:sz="0"/>
              <w:bottom w:val="none" w:color="FFFFFF" w:sz="0"/>
              <w:right w:val="none" w:color="FFFFFF" w:sz="0"/>
            </w:tcBorders>
            <w:shd w:fill="D5F5E3" w:val="clear"/>
            <w:tcMar>
              <w:top w:type="dxa" w:w="60"/>
              <w:left w:type="dxa" w:w="140"/>
              <w:bottom w:type="dxa" w:w="40"/>
              <w:right w:type="dxa" w:w="140"/>
            </w:tcMar>
          </w:tcPr>
          <w:p>
            <w:r>
              <w:rPr>
                <w:rFonts w:ascii="Arial" w:cs="Arial" w:eastAsia="Arial" w:hAnsi="Arial"/>
                <w:b/>
                <w:bCs/>
                <w:color w:val="1E8449"/>
                <w:sz w:val="18"/>
                <w:szCs w:val="18"/>
              </w:rPr>
              <w:t xml:space="preserve">What to do</w:t>
            </w:r>
          </w:p>
        </w:tc>
      </w:tr>
      <w:tr>
        <w:tc>
          <w:tcPr>
            <w:tcW w:type="dxa" w:w="4680"/>
            <w:tcBorders>
              <w:top w:val="none" w:color="FFFFFF" w:sz="0"/>
              <w:left w:val="none" w:color="FFFFFF" w:sz="0"/>
              <w:bottom w:val="single" w:color="C0392B" w:sz="1"/>
              <w:right w:val="single" w:color="AAAAAA" w:sz="1"/>
            </w:tcBorders>
            <w:shd w:fill="FADBD8"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C0392B"/>
                <w:sz w:val="17"/>
                <w:szCs w:val="17"/>
              </w:rPr>
              <w:t xml:space="preserve">No DPO designated: </w:t>
            </w:r>
            <w:r>
              <w:rPr>
                <w:rFonts w:ascii="Arial" w:cs="Arial" w:eastAsia="Arial" w:hAnsi="Arial"/>
                <w:color w:val="C0392B"/>
                <w:sz w:val="17"/>
                <w:szCs w:val="17"/>
              </w:rPr>
              <w:t xml:space="preserve">No Data Protection Officer has been appointed. Given that health data is being processed, Art. 37 likely makes a DPO mandatory. Even where it is not mandatory, the volume and sensitivity of data processed makes a voluntary appointment strongly advisable.</w:t>
            </w:r>
          </w:p>
          <w:p>
            <w:pPr>
              <w:pStyle w:val="ListParagraph"/>
              <w:numPr>
                <w:ilvl w:val="0"/>
                <w:numId w:val="2"/>
              </w:numPr>
              <w:spacing w:after="80"/>
            </w:pPr>
            <w:r>
              <w:rPr>
                <w:rFonts w:ascii="Arial" w:cs="Arial" w:eastAsia="Arial" w:hAnsi="Arial"/>
                <w:b/>
                <w:bCs/>
                <w:color w:val="C0392B"/>
                <w:sz w:val="17"/>
                <w:szCs w:val="17"/>
              </w:rPr>
              <w:t xml:space="preserve">No EU representative: </w:t>
            </w:r>
            <w:r>
              <w:rPr>
                <w:rFonts w:ascii="Arial" w:cs="Arial" w:eastAsia="Arial" w:hAnsi="Arial"/>
                <w:color w:val="C0392B"/>
                <w:sz w:val="17"/>
                <w:szCs w:val="17"/>
              </w:rPr>
              <w:t xml:space="preserve">If Acme Corp is established outside the EU/EEA but serves EU users, Art. 27 requires a named EU representative to be designated and published in the privacy policy. No representative is named anywhere in the codebase or documentation.</w:t>
            </w:r>
          </w:p>
          <w:p>
            <w:pPr>
              <w:pStyle w:val="ListParagraph"/>
              <w:numPr>
                <w:ilvl w:val="0"/>
                <w:numId w:val="2"/>
              </w:numPr>
              <w:spacing w:after="80"/>
            </w:pPr>
            <w:r>
              <w:rPr>
                <w:rFonts w:ascii="Arial" w:cs="Arial" w:eastAsia="Arial" w:hAnsi="Arial"/>
                <w:b/>
                <w:bCs/>
                <w:color w:val="C0392B"/>
                <w:sz w:val="17"/>
                <w:szCs w:val="17"/>
              </w:rPr>
              <w:t xml:space="preserve">No internal data protection policy: </w:t>
            </w:r>
            <w:r>
              <w:rPr>
                <w:rFonts w:ascii="Arial" w:cs="Arial" w:eastAsia="Arial" w:hAnsi="Arial"/>
                <w:color w:val="C0392B"/>
                <w:sz w:val="17"/>
                <w:szCs w:val="17"/>
              </w:rPr>
              <w:t xml:space="preserve">There is no documented internal policy covering how staff should handle personal data or how incidents should be escalated. Art. 24 requires controllers to demonstrate accountability through documented policies — this is often the first thing an ICO inspector asks for.</w:t>
            </w:r>
          </w:p>
        </w:tc>
        <w:tc>
          <w:tcPr>
            <w:tcW w:type="dxa" w:w="4680"/>
            <w:tcBorders>
              <w:top w:val="none" w:color="FFFFFF" w:sz="0"/>
              <w:left w:val="none" w:color="FFFFFF" w:sz="0"/>
              <w:bottom w:val="single" w:color="1E8449" w:sz="1"/>
              <w:right w:val="none" w:color="FFFFFF" w:sz="0"/>
            </w:tcBorders>
            <w:shd w:fill="D5F5E3"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1E8449"/>
                <w:sz w:val="17"/>
                <w:szCs w:val="17"/>
              </w:rPr>
              <w:t xml:space="preserve">Appoint a DPO or privacy lead: </w:t>
            </w:r>
            <w:r>
              <w:rPr>
                <w:rFonts w:ascii="Arial" w:cs="Arial" w:eastAsia="Arial" w:hAnsi="Arial"/>
                <w:color w:val="1E8449"/>
                <w:sz w:val="17"/>
                <w:szCs w:val="17"/>
              </w:rPr>
              <w:t xml:space="preserve">Ask your legal team to assess whether a DPO is mandatory given the health data processing. If mandatory, begin the appointment process. If not, designate a named privacy lead internally and document their responsibilities.</w:t>
            </w:r>
          </w:p>
          <w:p>
            <w:pPr>
              <w:pStyle w:val="ListParagraph"/>
              <w:numPr>
                <w:ilvl w:val="0"/>
                <w:numId w:val="2"/>
              </w:numPr>
              <w:spacing w:after="80"/>
            </w:pPr>
            <w:r>
              <w:rPr>
                <w:rFonts w:ascii="Arial" w:cs="Arial" w:eastAsia="Arial" w:hAnsi="Arial"/>
                <w:b/>
                <w:bCs/>
                <w:color w:val="1E8449"/>
                <w:sz w:val="17"/>
                <w:szCs w:val="17"/>
              </w:rPr>
              <w:t xml:space="preserve">Designate an EU representative: </w:t>
            </w:r>
            <w:r>
              <w:rPr>
                <w:rFonts w:ascii="Arial" w:cs="Arial" w:eastAsia="Arial" w:hAnsi="Arial"/>
                <w:color w:val="1E8449"/>
                <w:sz w:val="17"/>
                <w:szCs w:val="17"/>
              </w:rPr>
              <w:t xml:space="preserve">If Acme Corp is outside the EU, engage an EU representative service or designate a named EU-based individual. Add their name and contact details to the privacy policy.</w:t>
            </w:r>
          </w:p>
          <w:p>
            <w:pPr>
              <w:pStyle w:val="ListParagraph"/>
              <w:numPr>
                <w:ilvl w:val="0"/>
                <w:numId w:val="2"/>
              </w:numPr>
              <w:spacing w:after="80"/>
            </w:pPr>
            <w:r>
              <w:rPr>
                <w:rFonts w:ascii="Arial" w:cs="Arial" w:eastAsia="Arial" w:hAnsi="Arial"/>
                <w:b/>
                <w:bCs/>
                <w:color w:val="1E8449"/>
                <w:sz w:val="17"/>
                <w:szCs w:val="17"/>
              </w:rPr>
              <w:t xml:space="preserve">Write an internal data protection policy: </w:t>
            </w:r>
            <w:r>
              <w:rPr>
                <w:rFonts w:ascii="Arial" w:cs="Arial" w:eastAsia="Arial" w:hAnsi="Arial"/>
                <w:color w:val="1E8449"/>
                <w:sz w:val="17"/>
                <w:szCs w:val="17"/>
              </w:rPr>
              <w:t xml:space="preserve">Ask your DPO or privacy lead to produce a one-page policy covering: what data we collect and why, who is responsible, how to handle a data request, and how to report a suspected breach. Distribute to all staff and collect sign-offs.</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9360"/>
            <w:gridSpan w:val="2"/>
            <w:tcBorders>
              <w:top w:val="none" w:color="FFFFFF" w:sz="0"/>
              <w:left w:val="none" w:color="FFFFFF" w:sz="0"/>
              <w:bottom w:val="none" w:color="FFFFFF" w:sz="0"/>
              <w:right w:val="none" w:color="FFFFFF" w:sz="0"/>
            </w:tcBorders>
            <w:shd w:fill="1A3A5C" w:val="clear"/>
            <w:tcMar>
              <w:top w:type="dxa" w:w="100"/>
              <w:left w:type="dxa" w:w="140"/>
              <w:bottom w:type="dxa" w:w="100"/>
              <w:right w:type="dxa" w:w="140"/>
            </w:tcMar>
          </w:tcPr>
          <w:p>
            <w:r>
              <w:rPr>
                <w:rFonts w:ascii="Arial" w:cs="Arial" w:eastAsia="Arial" w:hAnsi="Arial"/>
                <w:b/>
                <w:bCs/>
                <w:color w:val="FFFFFF"/>
                <w:sz w:val="22"/>
                <w:szCs w:val="22"/>
              </w:rPr>
              <w:t xml:space="preserve">15. Training &amp; awareness</w:t>
            </w:r>
          </w:p>
        </w:tc>
      </w:tr>
      <w:tr>
        <w:tc>
          <w:tcPr>
            <w:tcW w:type="dxa" w:w="9360"/>
            <w:gridSpan w:val="2"/>
            <w:tcBorders>
              <w:top w:val="none" w:color="FFFFFF" w:sz="0"/>
              <w:left w:val="none" w:color="FFFFFF" w:sz="0"/>
              <w:bottom w:val="single" w:color="AAAAAA" w:sz="1"/>
              <w:right w:val="none" w:color="FFFFFF" w:sz="0"/>
            </w:tcBorders>
            <w:shd w:fill="EBF5FB" w:val="clear"/>
            <w:tcMar>
              <w:top w:type="dxa" w:w="60"/>
              <w:left w:type="dxa" w:w="140"/>
              <w:bottom w:type="dxa" w:w="60"/>
              <w:right w:type="dxa" w:w="140"/>
            </w:tcMar>
          </w:tcPr>
          <w:p>
            <w:r>
              <w:rPr>
                <w:rFonts w:ascii="Arial" w:cs="Arial" w:eastAsia="Arial" w:hAnsi="Arial"/>
                <w:b/>
                <w:bCs/>
                <w:color w:val="1C2833"/>
                <w:sz w:val="17"/>
                <w:szCs w:val="17"/>
              </w:rPr>
              <w:t xml:space="preserve">Owner: </w:t>
            </w:r>
            <w:r>
              <w:rPr>
                <w:rFonts w:ascii="Arial" w:cs="Arial" w:eastAsia="Arial" w:hAnsi="Arial"/>
                <w:color w:val="1C2833"/>
                <w:sz w:val="17"/>
                <w:szCs w:val="17"/>
              </w:rPr>
              <w:t xml:space="preserve">HR / Ops   </w:t>
            </w:r>
            <w:r>
              <w:rPr>
                <w:rFonts w:ascii="Arial" w:cs="Arial" w:eastAsia="Arial" w:hAnsi="Arial"/>
                <w:b/>
                <w:bCs/>
                <w:color w:val="1C2833"/>
                <w:sz w:val="17"/>
                <w:szCs w:val="17"/>
              </w:rPr>
              <w:t xml:space="preserve">Severity: </w:t>
            </w:r>
            <w:r>
              <w:rPr>
                <w:rFonts w:ascii="Arial" w:cs="Arial" w:eastAsia="Arial" w:hAnsi="Arial"/>
                <w:b/>
                <w:bCs/>
                <w:color w:val="5D6D7E"/>
                <w:sz w:val="17"/>
                <w:szCs w:val="17"/>
              </w:rPr>
              <w:t xml:space="preserve">🟡 Medium   </w:t>
            </w:r>
            <w:r>
              <w:rPr>
                <w:rFonts w:ascii="Arial" w:cs="Arial" w:eastAsia="Arial" w:hAnsi="Arial"/>
                <w:b/>
                <w:bCs/>
                <w:color w:val="1C2833"/>
                <w:sz w:val="17"/>
                <w:szCs w:val="17"/>
              </w:rPr>
              <w:t xml:space="preserve">Articles: </w:t>
            </w:r>
            <w:r>
              <w:rPr>
                <w:rFonts w:ascii="Arial" w:cs="Arial" w:eastAsia="Arial" w:hAnsi="Arial"/>
                <w:i/>
                <w:iCs/>
                <w:color w:val="5D6D7E"/>
                <w:sz w:val="17"/>
                <w:szCs w:val="17"/>
              </w:rPr>
              <w:t xml:space="preserve">Arts. 29, 32   </w:t>
            </w:r>
            <w:r>
              <w:rPr>
                <w:rFonts w:ascii="Arial" w:cs="Arial" w:eastAsia="Arial" w:hAnsi="Arial"/>
                <w:b/>
                <w:bCs/>
                <w:color w:val="1C2833"/>
                <w:sz w:val="17"/>
                <w:szCs w:val="17"/>
              </w:rPr>
              <w:t xml:space="preserve">Document: </w:t>
            </w:r>
            <w:r>
              <w:rPr>
                <w:rFonts w:ascii="Arial" w:cs="Arial" w:eastAsia="Arial" w:hAnsi="Arial"/>
                <w:i/>
                <w:iCs/>
                <w:color w:val="1A5276"/>
                <w:sz w:val="17"/>
                <w:szCs w:val="17"/>
              </w:rPr>
              <w:t xml:space="preserve">training-awareness-acme-2025.docx</w:t>
            </w:r>
          </w:p>
        </w:tc>
      </w:tr>
      <w:tr>
        <w:tc>
          <w:tcPr>
            <w:tcW w:type="dxa" w:w="4680"/>
            <w:tcBorders>
              <w:top w:val="none" w:color="FFFFFF" w:sz="0"/>
              <w:left w:val="none" w:color="FFFFFF" w:sz="0"/>
              <w:bottom w:val="none" w:color="FFFFFF" w:sz="0"/>
              <w:right w:val="none" w:color="FFFFFF" w:sz="0"/>
            </w:tcBorders>
            <w:shd w:fill="FADBD8" w:val="clear"/>
            <w:tcMar>
              <w:top w:type="dxa" w:w="60"/>
              <w:left w:type="dxa" w:w="140"/>
              <w:bottom w:type="dxa" w:w="40"/>
              <w:right w:type="dxa" w:w="140"/>
            </w:tcMar>
          </w:tcPr>
          <w:p>
            <w:r>
              <w:rPr>
                <w:rFonts w:ascii="Arial" w:cs="Arial" w:eastAsia="Arial" w:hAnsi="Arial"/>
                <w:b/>
                <w:bCs/>
                <w:color w:val="C0392B"/>
                <w:sz w:val="18"/>
                <w:szCs w:val="18"/>
              </w:rPr>
              <w:t xml:space="preserve">What's wrong</w:t>
            </w:r>
          </w:p>
        </w:tc>
        <w:tc>
          <w:tcPr>
            <w:tcW w:type="dxa" w:w="4680"/>
            <w:tcBorders>
              <w:top w:val="none" w:color="FFFFFF" w:sz="0"/>
              <w:left w:val="none" w:color="FFFFFF" w:sz="0"/>
              <w:bottom w:val="none" w:color="FFFFFF" w:sz="0"/>
              <w:right w:val="none" w:color="FFFFFF" w:sz="0"/>
            </w:tcBorders>
            <w:shd w:fill="D5F5E3" w:val="clear"/>
            <w:tcMar>
              <w:top w:type="dxa" w:w="60"/>
              <w:left w:type="dxa" w:w="140"/>
              <w:bottom w:type="dxa" w:w="40"/>
              <w:right w:type="dxa" w:w="140"/>
            </w:tcMar>
          </w:tcPr>
          <w:p>
            <w:r>
              <w:rPr>
                <w:rFonts w:ascii="Arial" w:cs="Arial" w:eastAsia="Arial" w:hAnsi="Arial"/>
                <w:b/>
                <w:bCs/>
                <w:color w:val="1E8449"/>
                <w:sz w:val="18"/>
                <w:szCs w:val="18"/>
              </w:rPr>
              <w:t xml:space="preserve">What to do</w:t>
            </w:r>
          </w:p>
        </w:tc>
      </w:tr>
      <w:tr>
        <w:tc>
          <w:tcPr>
            <w:tcW w:type="dxa" w:w="4680"/>
            <w:tcBorders>
              <w:top w:val="none" w:color="FFFFFF" w:sz="0"/>
              <w:left w:val="none" w:color="FFFFFF" w:sz="0"/>
              <w:bottom w:val="single" w:color="C0392B" w:sz="1"/>
              <w:right w:val="single" w:color="AAAAAA" w:sz="1"/>
            </w:tcBorders>
            <w:shd w:fill="FADBD8"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C0392B"/>
                <w:sz w:val="17"/>
                <w:szCs w:val="17"/>
              </w:rPr>
              <w:t xml:space="preserve">No training programme or records: </w:t>
            </w:r>
            <w:r>
              <w:rPr>
                <w:rFonts w:ascii="Arial" w:cs="Arial" w:eastAsia="Arial" w:hAnsi="Arial"/>
                <w:color w:val="C0392B"/>
                <w:sz w:val="17"/>
                <w:szCs w:val="17"/>
              </w:rPr>
              <w:t xml:space="preserve">There is no evidence of any GDPR training — no completion records, no sign-off sheets, no training materials in the codebase or documentation. Art. 29 requires all staff handling personal data to act only on documented instructions; Art. 32 requires training on security procedures.</w:t>
            </w:r>
          </w:p>
          <w:p>
            <w:pPr>
              <w:pStyle w:val="ListParagraph"/>
              <w:numPr>
                <w:ilvl w:val="0"/>
                <w:numId w:val="2"/>
              </w:numPr>
              <w:spacing w:after="80"/>
            </w:pPr>
            <w:r>
              <w:rPr>
                <w:rFonts w:ascii="Arial" w:cs="Arial" w:eastAsia="Arial" w:hAnsi="Arial"/>
                <w:b/>
                <w:bCs/>
                <w:color w:val="C0392B"/>
                <w:sz w:val="17"/>
                <w:szCs w:val="17"/>
              </w:rPr>
              <w:t xml:space="preserve">Absence of records treated as absence of training: </w:t>
            </w:r>
            <w:r>
              <w:rPr>
                <w:rFonts w:ascii="Arial" w:cs="Arial" w:eastAsia="Arial" w:hAnsi="Arial"/>
                <w:color w:val="C0392B"/>
                <w:sz w:val="17"/>
                <w:szCs w:val="17"/>
              </w:rPr>
              <w:t xml:space="preserve">In an ICO investigation, no training records is treated the same as no training. Even if informal briefings have occurred, without documented evidence they did not happen.</w:t>
            </w:r>
          </w:p>
        </w:tc>
        <w:tc>
          <w:tcPr>
            <w:tcW w:type="dxa" w:w="4680"/>
            <w:tcBorders>
              <w:top w:val="none" w:color="FFFFFF" w:sz="0"/>
              <w:left w:val="none" w:color="FFFFFF" w:sz="0"/>
              <w:bottom w:val="single" w:color="1E8449" w:sz="1"/>
              <w:right w:val="none" w:color="FFFFFF" w:sz="0"/>
            </w:tcBorders>
            <w:shd w:fill="D5F5E3" w:val="clear"/>
            <w:tcMar>
              <w:top w:type="dxa" w:w="40"/>
              <w:left w:type="dxa" w:w="140"/>
              <w:bottom w:type="dxa" w:w="120"/>
              <w:right w:type="dxa" w:w="140"/>
            </w:tcMar>
          </w:tcPr>
          <w:p>
            <w:pPr>
              <w:pStyle w:val="ListParagraph"/>
              <w:numPr>
                <w:ilvl w:val="0"/>
                <w:numId w:val="2"/>
              </w:numPr>
              <w:spacing w:after="80"/>
            </w:pPr>
            <w:r>
              <w:rPr>
                <w:rFonts w:ascii="Arial" w:cs="Arial" w:eastAsia="Arial" w:hAnsi="Arial"/>
                <w:b/>
                <w:bCs/>
                <w:color w:val="1E8449"/>
                <w:sz w:val="17"/>
                <w:szCs w:val="17"/>
              </w:rPr>
              <w:t xml:space="preserve">Run an initial training session: </w:t>
            </w:r>
            <w:r>
              <w:rPr>
                <w:rFonts w:ascii="Arial" w:cs="Arial" w:eastAsia="Arial" w:hAnsi="Arial"/>
                <w:color w:val="1E8449"/>
                <w:sz w:val="17"/>
                <w:szCs w:val="17"/>
              </w:rPr>
              <w:t xml:space="preserve">Use the attached training-awareness-acme-2025.docx to run a 1-hour GDPR awareness session covering: what personal data you collect, each person's responsibilities, how to handle a data request, and how to report a suspected breach. Collect individual sign-off sheets (Template B from the pack).</w:t>
            </w:r>
          </w:p>
          <w:p>
            <w:pPr>
              <w:pStyle w:val="ListParagraph"/>
              <w:numPr>
                <w:ilvl w:val="0"/>
                <w:numId w:val="2"/>
              </w:numPr>
              <w:spacing w:after="80"/>
            </w:pPr>
            <w:r>
              <w:rPr>
                <w:rFonts w:ascii="Arial" w:cs="Arial" w:eastAsia="Arial" w:hAnsi="Arial"/>
                <w:b/>
                <w:bCs/>
                <w:color w:val="1E8449"/>
                <w:sz w:val="17"/>
                <w:szCs w:val="17"/>
              </w:rPr>
              <w:t xml:space="preserve">Set an annual training schedule: </w:t>
            </w:r>
            <w:r>
              <w:rPr>
                <w:rFonts w:ascii="Arial" w:cs="Arial" w:eastAsia="Arial" w:hAnsi="Arial"/>
                <w:color w:val="1E8449"/>
                <w:sz w:val="17"/>
                <w:szCs w:val="17"/>
              </w:rPr>
              <w:t xml:space="preserve">Schedule GDPR training as an annual recurring event. New starters should complete it within their first 30 days. Use Template D from the training pack to produce a completion summary for your DPO or board.</w:t>
            </w:r>
          </w:p>
        </w:tc>
      </w:tr>
    </w:tbl>
    <w:p>
      <w:pPr>
        <w:pageBreakBefore/>
      </w:pPr>
      <w:r>
        <w:t xml:space="preserve"/>
      </w:r>
    </w:p>
    <w:p>
      <w:pPr>
        <w:pStyle w:val="Heading1"/>
      </w:pPr>
      <w:r>
        <w:rPr>
          <w:rFonts w:ascii="Arial" w:cs="Arial" w:eastAsia="Arial" w:hAnsi="Arial"/>
        </w:rPr>
        <w:t xml:space="preserve">3. Remediation roadmap</w:t>
      </w:r>
    </w:p>
    <w:p>
      <w:pPr>
        <w:spacing w:after="100"/>
      </w:pPr>
      <w:r>
        <w:rPr>
          <w:rFonts w:ascii="Arial" w:cs="Arial" w:eastAsia="Arial" w:hAnsi="Arial"/>
          <w:sz w:val="20"/>
          <w:szCs w:val="20"/>
        </w:rPr>
        <w:t xml:space="preserve">Prioritised action plan. Assign an owner to each timeline band before distributing to your team.</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7760"/>
      </w:tblGrid>
      <w:tr>
        <w:trPr>
          <w:tblHeader/>
        </w:trPr>
        <w:tc>
          <w:tcPr>
            <w:tcW w:type="dxa" w:w="160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Timeline</w:t>
            </w:r>
          </w:p>
        </w:tc>
        <w:tc>
          <w:tcPr>
            <w:tcW w:type="dxa" w:w="776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Actions</w:t>
            </w:r>
          </w:p>
        </w:tc>
      </w:tr>
      <w:tr>
        <w:tc>
          <w:tcPr>
            <w:tcW w:type="dxa" w:w="160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center"/>
            </w:pPr>
            <w:r>
              <w:rPr>
                <w:rFonts w:ascii="Arial" w:cs="Arial" w:eastAsia="Arial" w:hAnsi="Arial"/>
                <w:b/>
                <w:bCs/>
                <w:i w:val="false"/>
                <w:iCs w:val="false"/>
                <w:color w:val="C0392B"/>
                <w:sz w:val="18"/>
                <w:szCs w:val="18"/>
              </w:rPr>
              <w:t xml:space="preserve">Week 1–2
(Critical)</w:t>
            </w:r>
          </w:p>
        </w:tc>
        <w:tc>
          <w:tcPr>
            <w:tcW w:type="dxa" w:w="77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Stop all marketing emails to users who have not actively opted in — flip marketing_opt_in default to false and suppress existing unmarked records.
Sign DPAs with Stripe, Mailchimp, Segment, Sentry, and Intercom — all have self-serve DPA portals.
Gate Google Analytics and Meta Pixel behind a cookie consent banner.
Initiate DPIA for health_status field — DPO to open using attached template.</w:t>
            </w:r>
          </w:p>
        </w:tc>
      </w:tr>
      <w:tr>
        <w:tc>
          <w:tcPr>
            <w:tcW w:type="dxa" w:w="16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center"/>
            </w:pPr>
            <w:r>
              <w:rPr>
                <w:rFonts w:ascii="Arial" w:cs="Arial" w:eastAsia="Arial" w:hAnsi="Arial"/>
                <w:b/>
                <w:bCs/>
                <w:i w:val="false"/>
                <w:iCs w:val="false"/>
                <w:color w:val="E67E22"/>
                <w:sz w:val="18"/>
                <w:szCs w:val="18"/>
              </w:rPr>
              <w:t xml:space="preserve">Month 1
(High)</w:t>
            </w:r>
          </w:p>
        </w:tc>
        <w:tc>
          <w:tcPr>
            <w:tcW w:type="dxa" w:w="77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Update privacy policy: add DPO contact, retention schedule, ICO complaint right, and 1-month SAR SLA.
Build /account/export endpoint so users can download their data.
Update account deletion to purge PII fields (name, email, phone, health_status) — not just set deleted_at. Cascade to Mailchimp, Segment, and Intercom APIs.
Move auth tokens from localStorage to HttpOnly cookies. Configure Sentry PII scrubbing.
Confirm DPF certification or sign SCCs for Stripe, Mailchimp, and Segment.</w:t>
            </w:r>
          </w:p>
        </w:tc>
      </w:tr>
      <w:tr>
        <w:tc>
          <w:tcPr>
            <w:tcW w:type="dxa" w:w="16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vAlign w:val="center"/>
          </w:tcPr>
          <w:p>
            <w:pPr>
              <w:jc w:val="center"/>
            </w:pPr>
            <w:r>
              <w:rPr>
                <w:rFonts w:ascii="Arial" w:cs="Arial" w:eastAsia="Arial" w:hAnsi="Arial"/>
                <w:b/>
                <w:bCs/>
                <w:i w:val="false"/>
                <w:iCs w:val="false"/>
                <w:color w:val="5D6D7E"/>
                <w:sz w:val="18"/>
                <w:szCs w:val="18"/>
              </w:rPr>
              <w:t xml:space="preserve">Month 2–3
(Medium)</w:t>
            </w:r>
          </w:p>
        </w:tc>
        <w:tc>
          <w:tcPr>
            <w:tcW w:type="dxa" w:w="77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Flip user profiles from public-default to private-default.
Replace /user/:email URL route with opaque user ID.
Populate and publish ROPA from scan inventory.
Sign joint controller addenda with Google (in GA4 settings) and Meta (in Meta Business settings).
Adopt breach response runbook — assign DPO as incident lead. Pre-fill ICO 72-hour notification endpoint.</w:t>
            </w:r>
          </w:p>
        </w:tc>
      </w:tr>
      <w:tr>
        <w:tc>
          <w:tcPr>
            <w:tcW w:type="dxa" w:w="1600"/>
            <w:tcBorders>
              <w:top w:val="single" w:color="AAAAAA" w:sz="1"/>
              <w:left w:val="single" w:color="AAAAAA" w:sz="1"/>
              <w:bottom w:val="single" w:color="AAAAAA" w:sz="1"/>
              <w:right w:val="single" w:color="AAAAAA" w:sz="1"/>
            </w:tcBorders>
            <w:shd w:fill="D5F5E3" w:val="clear"/>
            <w:tcMar>
              <w:top w:type="dxa" w:w="80"/>
              <w:left w:type="dxa" w:w="120"/>
              <w:bottom w:type="dxa" w:w="80"/>
              <w:right w:type="dxa" w:w="120"/>
            </w:tcMar>
            <w:vAlign w:val="center"/>
          </w:tcPr>
          <w:p>
            <w:pPr>
              <w:jc w:val="center"/>
            </w:pPr>
            <w:r>
              <w:rPr>
                <w:rFonts w:ascii="Arial" w:cs="Arial" w:eastAsia="Arial" w:hAnsi="Arial"/>
                <w:b/>
                <w:bCs/>
                <w:i w:val="false"/>
                <w:iCs w:val="false"/>
                <w:color w:val="1E8449"/>
                <w:sz w:val="18"/>
                <w:szCs w:val="18"/>
              </w:rPr>
              <w:t xml:space="preserve">Ongoing</w:t>
            </w:r>
          </w:p>
        </w:tc>
        <w:tc>
          <w:tcPr>
            <w:tcW w:type="dxa" w:w="77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Quarterly access reviews — engineering lead reviews who has production DB, cloud console, and admin panel access.
Annual GDPR training for all staff handling personal data — use attached templates for sign-off evidence.
Update ROPA when new processors or processing activities are added.
Monitor ICO and EDPB enforcement guidance for changes affecting your sector.</w:t>
            </w:r>
          </w:p>
        </w:tc>
      </w:tr>
    </w:tbl>
    <w:p>
      <w:pPr>
        <w:pageBreakBefore/>
      </w:pPr>
      <w:r>
        <w:t xml:space="preserve"/>
      </w:r>
    </w:p>
    <w:p>
      <w:pPr>
        <w:pStyle w:val="Heading1"/>
      </w:pPr>
      <w:r>
        <w:rPr>
          <w:rFonts w:ascii="Arial" w:cs="Arial" w:eastAsia="Arial" w:hAnsi="Arial"/>
        </w:rPr>
        <w:t xml:space="preserve">Appendix A — Article-by-article compliance baseline</w:t>
      </w:r>
    </w:p>
    <w:p>
      <w:pPr>
        <w:spacing w:after="100"/>
      </w:pPr>
      <w:r>
        <w:rPr>
          <w:rFonts w:ascii="Arial" w:cs="Arial" w:eastAsia="Arial" w:hAnsi="Arial"/>
          <w:sz w:val="20"/>
          <w:szCs w:val="20"/>
        </w:rPr>
        <w:t xml:space="preserve">All 99 GDPR articles assessed. N/A articles shown in muted text. For DPO and legal use.</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50"/>
        <w:gridCol w:w="1850"/>
        <w:gridCol w:w="1100"/>
        <w:gridCol w:w="2730"/>
        <w:gridCol w:w="2730"/>
      </w:tblGrid>
      <w:tr>
        <w:trPr>
          <w:tblHeader/>
        </w:trPr>
        <w:tc>
          <w:tcPr>
            <w:tcW w:type="dxa" w:w="95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Article</w:t>
            </w:r>
          </w:p>
        </w:tc>
        <w:tc>
          <w:tcPr>
            <w:tcW w:type="dxa" w:w="185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Topic</w:t>
            </w:r>
          </w:p>
        </w:tc>
        <w:tc>
          <w:tcPr>
            <w:tcW w:type="dxa" w:w="110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Severity</w:t>
            </w:r>
          </w:p>
        </w:tc>
        <w:tc>
          <w:tcPr>
            <w:tcW w:type="dxa" w:w="273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Finding</w:t>
            </w:r>
          </w:p>
        </w:tc>
        <w:tc>
          <w:tcPr>
            <w:tcW w:type="dxa" w:w="273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Recommendation</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1</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Subject matter</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Scope-setting article — no compliance gap.</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2</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Material scope</w:t>
            </w:r>
          </w:p>
        </w:tc>
        <w:tc>
          <w:tcPr>
            <w:tcW w:type="dxa" w:w="1100"/>
            <w:tcBorders>
              <w:top w:val="single" w:color="AAAAAA" w:sz="1"/>
              <w:left w:val="single" w:color="AAAAAA" w:sz="1"/>
              <w:bottom w:val="single" w:color="AAAAAA" w:sz="1"/>
              <w:right w:val="single" w:color="AAAAAA" w:sz="1"/>
            </w:tcBorders>
            <w:shd w:fill="D6EAF8"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6"/>
                <w:szCs w:val="16"/>
              </w:rPr>
              <w:t xml:space="preserve">🔵 Info</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App processes personal data of natural persons — GDPR applies.</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Confirm scope with legal counsel if any processing is claimed to be anonymous.</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3</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Territorial scope</w:t>
            </w:r>
          </w:p>
        </w:tc>
        <w:tc>
          <w:tcPr>
            <w:tcW w:type="dxa" w:w="1100"/>
            <w:tcBorders>
              <w:top w:val="single" w:color="AAAAAA" w:sz="1"/>
              <w:left w:val="single" w:color="AAAAAA" w:sz="1"/>
              <w:bottom w:val="single" w:color="AAAAAA" w:sz="1"/>
              <w:right w:val="single" w:color="AAAAAA" w:sz="1"/>
            </w:tcBorders>
            <w:shd w:fill="D6EAF8"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6"/>
                <w:szCs w:val="16"/>
              </w:rPr>
              <w:t xml:space="preserve">🔵 Info</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App serves UK/EU users — GDPR applies regardless of company location.</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Confirm lead supervisory authority. Non-EU establishment: designate EU representative (Art. 27).</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4</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Definitions</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Reference article — no direct gap.</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5</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Principles</w:t>
            </w:r>
          </w:p>
        </w:tc>
        <w:tc>
          <w:tcPr>
            <w:tcW w:type="dxa" w:w="110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left"/>
            </w:pPr>
            <w:r>
              <w:rPr>
                <w:rFonts w:ascii="Arial" w:cs="Arial" w:eastAsia="Arial" w:hAnsi="Arial"/>
                <w:b/>
                <w:bCs/>
                <w:i w:val="false"/>
                <w:iCs w:val="false"/>
                <w:color w:val="C0392B"/>
                <w:sz w:val="16"/>
                <w:szCs w:val="16"/>
              </w:rPr>
              <w:t xml:space="preserve">🔴 Critical</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 documented lawful basis per activity. PII in application logs violates integrity/confidentiality principle.</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Document legal basis for every processing purpose. Scrub PII from logs. Define retention limits.</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6</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Lawful basis</w:t>
            </w:r>
          </w:p>
        </w:tc>
        <w:tc>
          <w:tcPr>
            <w:tcW w:type="dxa" w:w="110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left"/>
            </w:pPr>
            <w:r>
              <w:rPr>
                <w:rFonts w:ascii="Arial" w:cs="Arial" w:eastAsia="Arial" w:hAnsi="Arial"/>
                <w:b/>
                <w:bCs/>
                <w:i w:val="false"/>
                <w:iCs w:val="false"/>
                <w:color w:val="C0392B"/>
                <w:sz w:val="16"/>
                <w:szCs w:val="16"/>
              </w:rPr>
              <w:t xml:space="preserve">🔴 Critical</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 consent mechanism. marketing_opt_in defaults to true. No LIA for analytics.</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Add opt-in flow. Flip marketing_opt_in default. Document LIA for analytics and fraud prevention.</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7</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Consent conditions</w:t>
            </w:r>
          </w:p>
        </w:tc>
        <w:tc>
          <w:tcPr>
            <w:tcW w:type="dxa" w:w="110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left"/>
            </w:pPr>
            <w:r>
              <w:rPr>
                <w:rFonts w:ascii="Arial" w:cs="Arial" w:eastAsia="Arial" w:hAnsi="Arial"/>
                <w:b/>
                <w:bCs/>
                <w:i w:val="false"/>
                <w:iCs w:val="false"/>
                <w:color w:val="C0392B"/>
                <w:sz w:val="16"/>
                <w:szCs w:val="16"/>
              </w:rPr>
              <w:t xml:space="preserve">🔴 Critical</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 consent timestamp. No withdrawal mechanism. Consent tied to service access.</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Store consent records (timestamp, IP, policy version). Build withdrawal endpoint. Decouple consent from signup.</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8</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Child consent</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No evidence service targets under-16s. Monitor if children's features are added.</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 — reassess if children's features are introduced.</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9</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Special category</w:t>
            </w:r>
          </w:p>
        </w:tc>
        <w:tc>
          <w:tcPr>
            <w:tcW w:type="dxa" w:w="110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left"/>
            </w:pPr>
            <w:r>
              <w:rPr>
                <w:rFonts w:ascii="Arial" w:cs="Arial" w:eastAsia="Arial" w:hAnsi="Arial"/>
                <w:b/>
                <w:bCs/>
                <w:i w:val="false"/>
                <w:iCs w:val="false"/>
                <w:color w:val="C0392B"/>
                <w:sz w:val="16"/>
                <w:szCs w:val="16"/>
              </w:rPr>
              <w:t xml:space="preserve">🔴 Critical</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health_status in users table. No explicit consent or documented exception. AI inference risk not assessed.</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Add explicit consent for health data (Art. 9(2)(a)). Run DPIA. Assess AI inference risk.</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10</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Criminal data</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No criminal conviction or offence fields detected.</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11</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No ID required</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Not applicable — app identifies users by account.</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12</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Transparent info</w:t>
            </w:r>
          </w:p>
        </w:tc>
        <w:tc>
          <w:tcPr>
            <w:tcW w:type="dxa" w:w="11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 High</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Privacy policy exists but missing 1-month SLA, supervisory authority reference, and plain-language explanation.</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Update policy. Add ICO contact, 1-month SAR response time, and Art. 77 complaint right.</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13</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Info at collection</w:t>
            </w:r>
          </w:p>
        </w:tc>
        <w:tc>
          <w:tcPr>
            <w:tcW w:type="dxa" w:w="11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 High</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Policy missing DPO contact, retention periods, and third-party recipients.</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Add DPO contact, retention schedule, and processor list to privacy policy.</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14</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Third-party data</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No evidence of third-party data purchase or acquisition.</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 — reassess if bought lists or partner data feeds are introduced.</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15</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Right of access</w:t>
            </w:r>
          </w:p>
        </w:tc>
        <w:tc>
          <w:tcPr>
            <w:tcW w:type="dxa" w:w="11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 High</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 /account/export endpoint. No SAR handling process documented.</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Build data export endpoint. Document 1-month SAR SLA. Create internal triage process.</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16</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Right to rectify</w:t>
            </w:r>
          </w:p>
        </w:tc>
        <w:tc>
          <w:tcPr>
            <w:tcW w:type="dxa" w:w="11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vAlign w:val="center"/>
          </w:tcPr>
          <w:p>
            <w:pPr>
              <w:jc w:val="left"/>
            </w:pPr>
            <w:r>
              <w:rPr>
                <w:rFonts w:ascii="Arial" w:cs="Arial" w:eastAsia="Arial" w:hAnsi="Arial"/>
                <w:b/>
                <w:bCs/>
                <w:i w:val="false"/>
                <w:iCs w:val="false"/>
                <w:color w:val="5D6D7E"/>
                <w:sz w:val="16"/>
                <w:szCs w:val="16"/>
              </w:rPr>
              <w:t xml:space="preserve">🟡 Medium</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Users can edit name/email in profile settings — partially compliant. Phone update requires support ticket.</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Add phone self-edit to account settings.</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17</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Right to erasure</w:t>
            </w:r>
          </w:p>
        </w:tc>
        <w:tc>
          <w:tcPr>
            <w:tcW w:type="dxa" w:w="110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left"/>
            </w:pPr>
            <w:r>
              <w:rPr>
                <w:rFonts w:ascii="Arial" w:cs="Arial" w:eastAsia="Arial" w:hAnsi="Arial"/>
                <w:b/>
                <w:bCs/>
                <w:i w:val="false"/>
                <w:iCs w:val="false"/>
                <w:color w:val="C0392B"/>
                <w:sz w:val="16"/>
                <w:szCs w:val="16"/>
              </w:rPr>
              <w:t xml:space="preserve">🔴 Critical</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Deletion sets deleted_at only. PII fields persist. Processors not notified on deletion.</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Implement PII purge. Cascade deletion to Mailchimp, Segment, Intercom.</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18</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Right to restrict</w:t>
            </w:r>
          </w:p>
        </w:tc>
        <w:tc>
          <w:tcPr>
            <w:tcW w:type="dxa" w:w="11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vAlign w:val="center"/>
          </w:tcPr>
          <w:p>
            <w:pPr>
              <w:jc w:val="left"/>
            </w:pPr>
            <w:r>
              <w:rPr>
                <w:rFonts w:ascii="Arial" w:cs="Arial" w:eastAsia="Arial" w:hAnsi="Arial"/>
                <w:b/>
                <w:bCs/>
                <w:i w:val="false"/>
                <w:iCs w:val="false"/>
                <w:color w:val="5D6D7E"/>
                <w:sz w:val="16"/>
                <w:szCs w:val="16"/>
              </w:rPr>
              <w:t xml:space="preserve">🟡 Medium</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 mechanism to restrict processing without full deletion (e.g. account freeze).</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Add account suspension mode that halts processing without deleting data.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19</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Notification obligation</w:t>
            </w:r>
          </w:p>
        </w:tc>
        <w:tc>
          <w:tcPr>
            <w:tcW w:type="dxa" w:w="11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vAlign w:val="center"/>
          </w:tcPr>
          <w:p>
            <w:pPr>
              <w:jc w:val="left"/>
            </w:pPr>
            <w:r>
              <w:rPr>
                <w:rFonts w:ascii="Arial" w:cs="Arial" w:eastAsia="Arial" w:hAnsi="Arial"/>
                <w:b/>
                <w:bCs/>
                <w:i w:val="false"/>
                <w:iCs w:val="false"/>
                <w:color w:val="5D6D7E"/>
                <w:sz w:val="16"/>
                <w:szCs w:val="16"/>
              </w:rPr>
              <w:t xml:space="preserve">🟡 Medium</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 processor cascade on data change. Mailchimp/Segment not notified on rectification.</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Extend deletion cascade to cover rectification and restriction events.</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20</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Data portability</w:t>
            </w:r>
          </w:p>
        </w:tc>
        <w:tc>
          <w:tcPr>
            <w:tcW w:type="dxa" w:w="11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vAlign w:val="center"/>
          </w:tcPr>
          <w:p>
            <w:pPr>
              <w:jc w:val="left"/>
            </w:pPr>
            <w:r>
              <w:rPr>
                <w:rFonts w:ascii="Arial" w:cs="Arial" w:eastAsia="Arial" w:hAnsi="Arial"/>
                <w:b/>
                <w:bCs/>
                <w:i w:val="false"/>
                <w:iCs w:val="false"/>
                <w:color w:val="5D6D7E"/>
                <w:sz w:val="16"/>
                <w:szCs w:val="16"/>
              </w:rPr>
              <w:t xml:space="preserve">🟡 Medium</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 machine-readable export (JSON/CSV) available on request.</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Add JSON export to /account/export endpoint alongside human-readable format.</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21</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Right to object</w:t>
            </w:r>
          </w:p>
        </w:tc>
        <w:tc>
          <w:tcPr>
            <w:tcW w:type="dxa" w:w="11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 High</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 opt-out from legitimate interest processing or direct marketing. Must be readily accessible.</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Add opt-out from marketing and analytics in account settings. Surface in privacy policy.</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22</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Automated decisions</w:t>
            </w:r>
          </w:p>
        </w:tc>
        <w:tc>
          <w:tcPr>
            <w:tcW w:type="dxa" w:w="11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vAlign w:val="center"/>
          </w:tcPr>
          <w:p>
            <w:pPr>
              <w:jc w:val="left"/>
            </w:pPr>
            <w:r>
              <w:rPr>
                <w:rFonts w:ascii="Arial" w:cs="Arial" w:eastAsia="Arial" w:hAnsi="Arial"/>
                <w:b/>
                <w:bCs/>
                <w:i w:val="false"/>
                <w:iCs w:val="false"/>
                <w:color w:val="5D6D7E"/>
                <w:sz w:val="16"/>
                <w:szCs w:val="16"/>
              </w:rPr>
              <w:t xml:space="preserve">🟡 Medium</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 automated decisions with legal/significant effects detected.</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N/A — monitor if credit scoring, access gating, or AI-driven decisions are added.</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23</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Restrictions</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Not applicable — no member state derogations relevant.</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24</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Controller responsibility</w:t>
            </w:r>
          </w:p>
        </w:tc>
        <w:tc>
          <w:tcPr>
            <w:tcW w:type="dxa" w:w="11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vAlign w:val="center"/>
          </w:tcPr>
          <w:p>
            <w:pPr>
              <w:jc w:val="left"/>
            </w:pPr>
            <w:r>
              <w:rPr>
                <w:rFonts w:ascii="Arial" w:cs="Arial" w:eastAsia="Arial" w:hAnsi="Arial"/>
                <w:b/>
                <w:bCs/>
                <w:i w:val="false"/>
                <w:iCs w:val="false"/>
                <w:color w:val="5D6D7E"/>
                <w:sz w:val="16"/>
                <w:szCs w:val="16"/>
              </w:rPr>
              <w:t xml:space="preserve">🟡 Medium</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 internal data protection policies documented. No accountability framework.</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Document processing activities. Implement internal GDPR policy. Assign DPO or compliance owner.</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25</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Privacy by design</w:t>
            </w:r>
          </w:p>
        </w:tc>
        <w:tc>
          <w:tcPr>
            <w:tcW w:type="dxa" w:w="11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vAlign w:val="center"/>
          </w:tcPr>
          <w:p>
            <w:pPr>
              <w:jc w:val="left"/>
            </w:pPr>
            <w:r>
              <w:rPr>
                <w:rFonts w:ascii="Arial" w:cs="Arial" w:eastAsia="Arial" w:hAnsi="Arial"/>
                <w:b/>
                <w:bCs/>
                <w:i w:val="false"/>
                <w:iCs w:val="false"/>
                <w:color w:val="5D6D7E"/>
                <w:sz w:val="16"/>
                <w:szCs w:val="16"/>
              </w:rPr>
              <w:t xml:space="preserve">🟡 Medium</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Profiles default to public. Email used in URL parameter (/user/:email).</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Flip profile default to private. Replace email URL param with opaque user ID.</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26</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Joint controllers</w:t>
            </w:r>
          </w:p>
        </w:tc>
        <w:tc>
          <w:tcPr>
            <w:tcW w:type="dxa" w:w="11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 High</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Google Analytics and Meta Pixel — joint controller relationships with no agreement.</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Accept Google Measurement Controller terms in GA4. Accept Meta joint controller addendum.</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27</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EU representative</w:t>
            </w:r>
          </w:p>
        </w:tc>
        <w:tc>
          <w:tcPr>
            <w:tcW w:type="dxa" w:w="11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vAlign w:val="center"/>
          </w:tcPr>
          <w:p>
            <w:pPr>
              <w:jc w:val="left"/>
            </w:pPr>
            <w:r>
              <w:rPr>
                <w:rFonts w:ascii="Arial" w:cs="Arial" w:eastAsia="Arial" w:hAnsi="Arial"/>
                <w:b/>
                <w:bCs/>
                <w:i w:val="false"/>
                <w:iCs w:val="false"/>
                <w:color w:val="5D6D7E"/>
                <w:sz w:val="16"/>
                <w:szCs w:val="16"/>
              </w:rPr>
              <w:t xml:space="preserve">🟡 Medium</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 EU representative designated. Required if company is outside EU/EEA.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Designate EU representative (individual or service provider) and publish contact in privacy policy.</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28</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Processor agreements</w:t>
            </w:r>
          </w:p>
        </w:tc>
        <w:tc>
          <w:tcPr>
            <w:tcW w:type="dxa" w:w="110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left"/>
            </w:pPr>
            <w:r>
              <w:rPr>
                <w:rFonts w:ascii="Arial" w:cs="Arial" w:eastAsia="Arial" w:hAnsi="Arial"/>
                <w:b/>
                <w:bCs/>
                <w:i w:val="false"/>
                <w:iCs w:val="false"/>
                <w:color w:val="C0392B"/>
                <w:sz w:val="16"/>
                <w:szCs w:val="16"/>
              </w:rPr>
              <w:t xml:space="preserve">🔴 Critical</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Stripe, Mailchimp, Segment, Sentry, Intercom — no DPAs signed with any processor.</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Sign DPAs via each processor's self-serve portal. Full list in Domain 7 findings.</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29</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Instructions to processors</w:t>
            </w:r>
          </w:p>
        </w:tc>
        <w:tc>
          <w:tcPr>
            <w:tcW w:type="dxa" w:w="11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vAlign w:val="center"/>
          </w:tcPr>
          <w:p>
            <w:pPr>
              <w:jc w:val="left"/>
            </w:pPr>
            <w:r>
              <w:rPr>
                <w:rFonts w:ascii="Arial" w:cs="Arial" w:eastAsia="Arial" w:hAnsi="Arial"/>
                <w:b/>
                <w:bCs/>
                <w:i w:val="false"/>
                <w:iCs w:val="false"/>
                <w:color w:val="5D6D7E"/>
                <w:sz w:val="16"/>
                <w:szCs w:val="16"/>
              </w:rPr>
              <w:t xml:space="preserve">🟡 Medium</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 documented processing instructions issued to processors.</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Add written instructions to each DPA specifying permitted purposes and prohibited uses.</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30</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ROPA</w:t>
            </w:r>
          </w:p>
        </w:tc>
        <w:tc>
          <w:tcPr>
            <w:tcW w:type="dxa" w:w="110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left"/>
            </w:pPr>
            <w:r>
              <w:rPr>
                <w:rFonts w:ascii="Arial" w:cs="Arial" w:eastAsia="Arial" w:hAnsi="Arial"/>
                <w:b/>
                <w:bCs/>
                <w:i w:val="false"/>
                <w:iCs w:val="false"/>
                <w:color w:val="C0392B"/>
                <w:sz w:val="16"/>
                <w:szCs w:val="16"/>
              </w:rPr>
              <w:t xml:space="preserve">🔴 Critical</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 ROPA exists.</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Generate ROPA from attached template. DPO to complete and maintain quarterly.</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31</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Cooperation with authority</w:t>
            </w:r>
          </w:p>
        </w:tc>
        <w:tc>
          <w:tcPr>
            <w:tcW w:type="dxa" w:w="1100"/>
            <w:tcBorders>
              <w:top w:val="single" w:color="AAAAAA" w:sz="1"/>
              <w:left w:val="single" w:color="AAAAAA" w:sz="1"/>
              <w:bottom w:val="single" w:color="AAAAAA" w:sz="1"/>
              <w:right w:val="single" w:color="AAAAAA" w:sz="1"/>
            </w:tcBorders>
            <w:shd w:fill="D6EAF8"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6"/>
                <w:szCs w:val="16"/>
              </w:rPr>
              <w:t xml:space="preserve">🔵 Info</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 gap — obligation activates only if a supervisory authority investigation is opened.</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Designate DPO as primary contact for ICO correspondence.</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32</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Security</w:t>
            </w:r>
          </w:p>
        </w:tc>
        <w:tc>
          <w:tcPr>
            <w:tcW w:type="dxa" w:w="11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 High</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Auth tokens in localStorage (XSS-vulnerable). Email addresses in Sentry error logs. No evidence of encryption at rest for PII.</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Move tokens to HttpOnly cookies. Configure Sentry PII scrubbing. Verify PostgreSQL encryption at rest.</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33</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Breach notification</w:t>
            </w:r>
          </w:p>
        </w:tc>
        <w:tc>
          <w:tcPr>
            <w:tcW w:type="dxa" w:w="11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vAlign w:val="center"/>
          </w:tcPr>
          <w:p>
            <w:pPr>
              <w:jc w:val="left"/>
            </w:pPr>
            <w:r>
              <w:rPr>
                <w:rFonts w:ascii="Arial" w:cs="Arial" w:eastAsia="Arial" w:hAnsi="Arial"/>
                <w:b/>
                <w:bCs/>
                <w:i w:val="false"/>
                <w:iCs w:val="false"/>
                <w:color w:val="5D6D7E"/>
                <w:sz w:val="16"/>
                <w:szCs w:val="16"/>
              </w:rPr>
              <w:t xml:space="preserve">🟡 Medium</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 breach notification runbook. No 72-hour notification procedure to ICO.</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Adopt breach response pack. DPO to own. Pre-fill ICO notification endpoint.</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34</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Notify data subjects</w:t>
            </w:r>
          </w:p>
        </w:tc>
        <w:tc>
          <w:tcPr>
            <w:tcW w:type="dxa" w:w="11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vAlign w:val="center"/>
          </w:tcPr>
          <w:p>
            <w:pPr>
              <w:jc w:val="left"/>
            </w:pPr>
            <w:r>
              <w:rPr>
                <w:rFonts w:ascii="Arial" w:cs="Arial" w:eastAsia="Arial" w:hAnsi="Arial"/>
                <w:b/>
                <w:bCs/>
                <w:i w:val="false"/>
                <w:iCs w:val="false"/>
                <w:color w:val="5D6D7E"/>
                <w:sz w:val="16"/>
                <w:szCs w:val="16"/>
              </w:rPr>
              <w:t xml:space="preserve">🟡 Medium</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 data subject notification template for high-risk breaches.</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Draft notification template. Include in breach response pack.</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35</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DPIA</w:t>
            </w:r>
          </w:p>
        </w:tc>
        <w:tc>
          <w:tcPr>
            <w:tcW w:type="dxa" w:w="11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 High</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health_status processing triggers mandatory DPIA. No DPIA on record.</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Run DPIA using attached template before continuing health data processing.</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36</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Prior consultation</w:t>
            </w:r>
          </w:p>
        </w:tc>
        <w:tc>
          <w:tcPr>
            <w:tcW w:type="dxa" w:w="11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vAlign w:val="center"/>
          </w:tcPr>
          <w:p>
            <w:pPr>
              <w:jc w:val="left"/>
            </w:pPr>
            <w:r>
              <w:rPr>
                <w:rFonts w:ascii="Arial" w:cs="Arial" w:eastAsia="Arial" w:hAnsi="Arial"/>
                <w:b/>
                <w:bCs/>
                <w:i w:val="false"/>
                <w:iCs w:val="false"/>
                <w:color w:val="5D6D7E"/>
                <w:sz w:val="16"/>
                <w:szCs w:val="16"/>
              </w:rPr>
              <w:t xml:space="preserve">🟡 Medium</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 prior consultation needed yet — DPIA not completed. Required if DPIA shows high residual risk.</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Complete DPIA (Art. 35 above). If residual risk is High, consult ICO before processing continues.</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37</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DPO designation</w:t>
            </w:r>
          </w:p>
        </w:tc>
        <w:tc>
          <w:tcPr>
            <w:tcW w:type="dxa" w:w="11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vAlign w:val="center"/>
          </w:tcPr>
          <w:p>
            <w:pPr>
              <w:jc w:val="left"/>
            </w:pPr>
            <w:r>
              <w:rPr>
                <w:rFonts w:ascii="Arial" w:cs="Arial" w:eastAsia="Arial" w:hAnsi="Arial"/>
                <w:b/>
                <w:bCs/>
                <w:i w:val="false"/>
                <w:iCs w:val="false"/>
                <w:color w:val="5D6D7E"/>
                <w:sz w:val="16"/>
                <w:szCs w:val="16"/>
              </w:rPr>
              <w:t xml:space="preserve">🟡 Medium</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 DPO designated. Health data processing at scale may require one.</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Legal to assess whether DPO is mandatory. If not mandatory, consider voluntary appointment.</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38</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DPO position</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Applies once DPO is designated.</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 — implement after Art. 37 resolved.</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39</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DPO tasks</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Applies once DPO is designated.</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 — implement after Art. 37 resolved.</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40</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Codes of conduct</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No applicable approved code of conduct in use.</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41</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Monitoring of codes</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Not applicable.</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42</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Certification</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No GDPR certification sought.</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 — consider BCR or certification scheme as maturity increases.</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43</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Certification bodies</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Not applicable.</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44</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Transfer principle</w:t>
            </w:r>
          </w:p>
        </w:tc>
        <w:tc>
          <w:tcPr>
            <w:tcW w:type="dxa" w:w="11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 High</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US-based processors (Stripe, Mailchimp, Segment) in use. Transfer mechanism not confirmed for any.</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Confirm DPF certification or sign SCCs with each US processor.</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45</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Adequacy decision</w:t>
            </w:r>
          </w:p>
        </w:tc>
        <w:tc>
          <w:tcPr>
            <w:tcW w:type="dxa" w:w="1100"/>
            <w:tcBorders>
              <w:top w:val="single" w:color="AAAAAA" w:sz="1"/>
              <w:left w:val="single" w:color="AAAAAA" w:sz="1"/>
              <w:bottom w:val="single" w:color="AAAAAA" w:sz="1"/>
              <w:right w:val="single" w:color="AAAAAA" w:sz="1"/>
            </w:tcBorders>
            <w:shd w:fill="D6EAF8"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6"/>
                <w:szCs w:val="16"/>
              </w:rPr>
              <w:t xml:space="preserve">🔵 Info</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US processors must be DPF-certified for adequacy to apply. Not yet confirmed.</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Check DPF registry for each processor. If not listed, fall back to SCCs.</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46</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Safeguards (SCCs)</w:t>
            </w:r>
          </w:p>
        </w:tc>
        <w:tc>
          <w:tcPr>
            <w:tcW w:type="dxa" w:w="11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 High</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SCCs not confirmed for non-DPF US processors.</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Sign updated June 2021 SCCs with any processor not covered by DPF.</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47</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Binding corporate rules</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No intra-group transfers requiring BCRs.</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48</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Foreign court orders</w:t>
            </w:r>
          </w:p>
        </w:tc>
        <w:tc>
          <w:tcPr>
            <w:tcW w:type="dxa" w:w="110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left"/>
            </w:pPr>
            <w:r>
              <w:rPr>
                <w:rFonts w:ascii="Arial" w:cs="Arial" w:eastAsia="Arial" w:hAnsi="Arial"/>
                <w:b/>
                <w:bCs/>
                <w:i w:val="false"/>
                <w:iCs w:val="false"/>
                <w:color w:val="C0392B"/>
                <w:sz w:val="16"/>
                <w:szCs w:val="16"/>
              </w:rPr>
              <w:t xml:space="preserve">🔴 Critical</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 policy on responding to non-EU/UK court orders or government data requests.</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Add policy: disclose only with GDPR-compliant legal basis. Log any requests received.</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49</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Derogations</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No routine use of derogations. Not applicable.</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Arts. 51–59</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Supervisory authorities</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Regulator structure articles — no direct compliance gap.</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Arts. 60–76</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Cooperation &amp; consistency</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Regulator cooperation articles — no direct compliance gap.</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77</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Right to complain</w:t>
            </w:r>
          </w:p>
        </w:tc>
        <w:tc>
          <w:tcPr>
            <w:tcW w:type="dxa" w:w="11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 High</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Privacy policy does not mention right to lodge complaint with ICO.</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Add one sentence to privacy policy: users may complain to the ICO at ico.org.uk.</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78</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Judicial remedy against authority</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Informational — no compliance gap.</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79</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Judicial remedy vs controller</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Informational — no compliance gap.</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80</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Representation</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Informational — no compliance gap.</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81</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Suspension of proceedings</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Informational — no compliance gap.</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82</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Compensation &amp; liability</w:t>
            </w:r>
          </w:p>
        </w:tc>
        <w:tc>
          <w:tcPr>
            <w:tcW w:type="dxa" w:w="11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vAlign w:val="center"/>
          </w:tcPr>
          <w:p>
            <w:pPr>
              <w:jc w:val="left"/>
            </w:pPr>
            <w:r>
              <w:rPr>
                <w:rFonts w:ascii="Arial" w:cs="Arial" w:eastAsia="Arial" w:hAnsi="Arial"/>
                <w:b/>
                <w:bCs/>
                <w:i w:val="false"/>
                <w:iCs w:val="false"/>
                <w:color w:val="5D6D7E"/>
                <w:sz w:val="16"/>
                <w:szCs w:val="16"/>
              </w:rPr>
              <w:t xml:space="preserve">🟡 Medium</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 liability allocation clause in processor contracts.</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Include liability allocation in each DPA — standard templates include this.</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83</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Fines</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Context article — penalty tiers. No direct gap.</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84</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Penalties</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Member state discretion — informational.</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85</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Freedom of expression</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Not applicable — no journalistic/artistic/academic exemption claimed.</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86</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Public access to documents</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Not a public body.</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87</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National ID numbers</w:t>
            </w:r>
          </w:p>
        </w:tc>
        <w:tc>
          <w:tcPr>
            <w:tcW w:type="dxa" w:w="1100"/>
            <w:tcBorders>
              <w:top w:val="single" w:color="AAAAAA" w:sz="1"/>
              <w:left w:val="single" w:color="AAAAAA" w:sz="1"/>
              <w:bottom w:val="single" w:color="AAAAAA" w:sz="1"/>
              <w:right w:val="single" w:color="AAAAAA" w:sz="1"/>
            </w:tcBorders>
            <w:shd w:fill="EBF5FB" w:val="clear"/>
            <w:tcMar>
              <w:top w:type="dxa" w:w="80"/>
              <w:left w:type="dxa" w:w="120"/>
              <w:bottom w:type="dxa" w:w="80"/>
              <w:right w:type="dxa" w:w="120"/>
            </w:tcMar>
            <w:vAlign w:val="center"/>
          </w:tcPr>
          <w:p>
            <w:pPr>
              <w:jc w:val="left"/>
            </w:pPr>
            <w:r>
              <w:rPr>
                <w:rFonts w:ascii="Arial" w:cs="Arial" w:eastAsia="Arial" w:hAnsi="Arial"/>
                <w:b/>
                <w:bCs/>
                <w:i w:val="false"/>
                <w:iCs w:val="false"/>
                <w:color w:val="5D6D7E"/>
                <w:sz w:val="16"/>
                <w:szCs w:val="16"/>
              </w:rPr>
              <w:t xml:space="preserve">🟡 Medium</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 national ID fields detected. Monitor if added.</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N/A — add safeguards if national ID numbers are processed.</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88</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Employment context</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No HR or employee data processing detected in this codebase.</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 — reassess if HR module or employee monitoring is added.</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89</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Research/archiving</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Not applicable.</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90</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Secrecy obligations</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Not applicable.</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91</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Churches/associations</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Not applicable.</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Arts. 92–93</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Delegated acts</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Commission powers — not applicable.</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94</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Repeal of Directive</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Informational — no compliance gap.</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Art. 95</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8"/>
                <w:szCs w:val="18"/>
              </w:rPr>
              <w:t xml:space="preserve">ePrivacy relationship</w:t>
            </w:r>
          </w:p>
        </w:tc>
        <w:tc>
          <w:tcPr>
            <w:tcW w:type="dxa" w:w="110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left"/>
            </w:pPr>
            <w:r>
              <w:rPr>
                <w:rFonts w:ascii="Arial" w:cs="Arial" w:eastAsia="Arial" w:hAnsi="Arial"/>
                <w:b/>
                <w:bCs/>
                <w:i w:val="false"/>
                <w:iCs w:val="false"/>
                <w:color w:val="C0392B"/>
                <w:sz w:val="16"/>
                <w:szCs w:val="16"/>
              </w:rPr>
              <w:t xml:space="preserve">🔴 Critical</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GA4 and Meta Pixel fire before consent. No CMP present. Cookie wall patterns detected.</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Install CMP. Gate all non-essential scripts behind consent. Ensure equal reject button.</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96</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Prior agreements</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Informational — no compliance gap.</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97</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Commission reports</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Informational — not applicable.</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98</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Review of Union acts</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Informational — not applicable.</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r>
        <w:tc>
          <w:tcPr>
            <w:tcW w:type="dxa" w:w="9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Art. 99</w:t>
            </w:r>
          </w:p>
        </w:tc>
        <w:tc>
          <w:tcPr>
            <w:tcW w:type="dxa" w:w="185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5D6D7E"/>
                <w:sz w:val="18"/>
                <w:szCs w:val="18"/>
              </w:rPr>
              <w:t xml:space="preserve">Entry into force</w:t>
            </w:r>
          </w:p>
        </w:tc>
        <w:tc>
          <w:tcPr>
            <w:tcW w:type="dxa" w:w="11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N/A</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Informational — GDPR applies since 25 May 2018.</w:t>
            </w:r>
          </w:p>
        </w:tc>
        <w:tc>
          <w:tcPr>
            <w:tcW w:type="dxa" w:w="273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6"/>
                <w:szCs w:val="16"/>
              </w:rPr>
              <w:t xml:space="preserve">N/A</w:t>
            </w:r>
          </w:p>
        </w:tc>
      </w:tr>
    </w:tbl>
    <w:p>
      <w:pPr>
        <w:spacing w:after="80"/>
      </w:pPr>
      <w:r>
        <w:t xml:space="preserve"/>
      </w:r>
    </w:p>
    <w:p>
      <w:pPr>
        <w:spacing w:after="80" w:before="200"/>
      </w:pPr>
      <w:r>
        <w:rPr>
          <w:rFonts w:ascii="Arial" w:cs="Arial" w:eastAsia="Arial" w:hAnsi="Arial"/>
          <w:b/>
          <w:bCs/>
          <w:sz w:val="20"/>
          <w:szCs w:val="20"/>
        </w:rPr>
        <w:t xml:space="preserve">Article compliance summary:</w:t>
      </w:r>
    </w:p>
    <w:p>
      <w:pPr>
        <w:spacing w:after="100"/>
      </w:pPr>
      <w:r>
        <w:rPr>
          <w:rFonts w:ascii="Arial" w:cs="Arial" w:eastAsia="Arial" w:hAnsi="Arial"/>
          <w:b/>
          <w:bCs/>
          <w:sz w:val="20"/>
          <w:szCs w:val="20"/>
        </w:rPr>
        <w:t xml:space="preserve">Critical gaps: </w:t>
      </w:r>
      <w:r>
        <w:rPr>
          <w:rFonts w:ascii="Arial" w:cs="Arial" w:eastAsia="Arial" w:hAnsi="Arial"/>
          <w:sz w:val="20"/>
          <w:szCs w:val="20"/>
        </w:rPr>
        <w:t xml:space="preserve">5  (Arts. 5, 6, 7, 9, 17, 28, 30, 48, 95)</w:t>
      </w:r>
    </w:p>
    <w:p>
      <w:pPr>
        <w:spacing w:after="100"/>
      </w:pPr>
      <w:r>
        <w:rPr>
          <w:rFonts w:ascii="Arial" w:cs="Arial" w:eastAsia="Arial" w:hAnsi="Arial"/>
          <w:b/>
          <w:bCs/>
          <w:sz w:val="20"/>
          <w:szCs w:val="20"/>
        </w:rPr>
        <w:t xml:space="preserve">High gaps: </w:t>
      </w:r>
      <w:r>
        <w:rPr>
          <w:rFonts w:ascii="Arial" w:cs="Arial" w:eastAsia="Arial" w:hAnsi="Arial"/>
          <w:sz w:val="20"/>
          <w:szCs w:val="20"/>
        </w:rPr>
        <w:t xml:space="preserve">6  (Arts. 12, 13, 15, 21, 26, 32, 35, 44, 46, 77)</w:t>
      </w:r>
    </w:p>
    <w:p>
      <w:pPr>
        <w:spacing w:after="100"/>
      </w:pPr>
      <w:r>
        <w:rPr>
          <w:rFonts w:ascii="Arial" w:cs="Arial" w:eastAsia="Arial" w:hAnsi="Arial"/>
          <w:b/>
          <w:bCs/>
          <w:sz w:val="20"/>
          <w:szCs w:val="20"/>
        </w:rPr>
        <w:t xml:space="preserve">Medium gaps: </w:t>
      </w:r>
      <w:r>
        <w:rPr>
          <w:rFonts w:ascii="Arial" w:cs="Arial" w:eastAsia="Arial" w:hAnsi="Arial"/>
          <w:sz w:val="20"/>
          <w:szCs w:val="20"/>
        </w:rPr>
        <w:t xml:space="preserve">8  (Arts. 16, 18, 19, 20, 22, 24, 27, 29, 33, 34, 36, 37, 82, 87)</w:t>
      </w:r>
    </w:p>
    <w:p>
      <w:pPr>
        <w:spacing w:after="100"/>
      </w:pPr>
      <w:r>
        <w:rPr>
          <w:rFonts w:ascii="Arial" w:cs="Arial" w:eastAsia="Arial" w:hAnsi="Arial"/>
          <w:b/>
          <w:bCs/>
          <w:sz w:val="20"/>
          <w:szCs w:val="20"/>
        </w:rPr>
        <w:t xml:space="preserve">Informational: </w:t>
      </w:r>
      <w:r>
        <w:rPr>
          <w:rFonts w:ascii="Arial" w:cs="Arial" w:eastAsia="Arial" w:hAnsi="Arial"/>
          <w:sz w:val="20"/>
          <w:szCs w:val="20"/>
        </w:rPr>
        <w:t xml:space="preserve">5  (Arts. 2, 3, 31, 45)</w:t>
      </w:r>
    </w:p>
    <w:p>
      <w:pPr>
        <w:spacing w:after="100"/>
      </w:pPr>
      <w:r>
        <w:rPr>
          <w:rFonts w:ascii="Arial" w:cs="Arial" w:eastAsia="Arial" w:hAnsi="Arial"/>
          <w:b/>
          <w:bCs/>
          <w:sz w:val="20"/>
          <w:szCs w:val="20"/>
        </w:rPr>
        <w:t xml:space="preserve">N/A (inapplicable): </w:t>
      </w:r>
      <w:r>
        <w:rPr>
          <w:rFonts w:ascii="Arial" w:cs="Arial" w:eastAsia="Arial" w:hAnsi="Arial"/>
          <w:sz w:val="20"/>
          <w:szCs w:val="20"/>
        </w:rPr>
        <w:t xml:space="preserve">68 articles</w:t>
      </w:r>
    </w:p>
    <w:p>
      <w:pPr>
        <w:spacing w:after="100"/>
      </w:pPr>
      <w:r>
        <w:rPr>
          <w:rFonts w:ascii="Arial" w:cs="Arial" w:eastAsia="Arial" w:hAnsi="Arial"/>
          <w:b/>
          <w:bCs/>
          <w:sz w:val="20"/>
          <w:szCs w:val="20"/>
        </w:rPr>
        <w:t xml:space="preserve">Estimated compliance posture: </w:t>
      </w:r>
      <w:r>
        <w:rPr>
          <w:rFonts w:ascii="Arial" w:cs="Arial" w:eastAsia="Arial" w:hAnsi="Arial"/>
          <w:sz w:val="20"/>
          <w:szCs w:val="20"/>
        </w:rPr>
        <w:t xml:space="preserve">Partial — significant gaps identified</w:t>
      </w:r>
    </w:p>
    <w:p>
      <w:pPr>
        <w:pageBreakBefore/>
      </w:pPr>
      <w:r>
        <w:t xml:space="preserve"/>
      </w:r>
    </w:p>
    <w:p>
      <w:pPr>
        <w:pStyle w:val="Heading1"/>
      </w:pPr>
      <w:r>
        <w:rPr>
          <w:rFonts w:ascii="Arial" w:cs="Arial" w:eastAsia="Arial" w:hAnsi="Arial"/>
        </w:rPr>
        <w:t xml:space="preserve">Appendix B — PII inventory &amp; processor research</w:t>
      </w:r>
    </w:p>
    <w:p>
      <w:pPr>
        <w:pStyle w:val="Heading2"/>
      </w:pPr>
      <w:r>
        <w:rPr>
          <w:rFonts w:ascii="Arial" w:cs="Arial" w:eastAsia="Arial" w:hAnsi="Arial"/>
        </w:rPr>
        <w:t xml:space="preserve">B1. PII inventory</w:t>
      </w:r>
    </w:p>
    <w:p>
      <w:pPr>
        <w:spacing w:after="100"/>
      </w:pPr>
      <w:r>
        <w:rPr>
          <w:rFonts w:ascii="Arial" w:cs="Arial" w:eastAsia="Arial" w:hAnsi="Arial"/>
          <w:sz w:val="20"/>
          <w:szCs w:val="20"/>
        </w:rPr>
        <w:t xml:space="preserve">Identified from codebase scan. Special category data highlighted.</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200"/>
        <w:gridCol w:w="1800"/>
        <w:gridCol w:w="1560"/>
        <w:gridCol w:w="1800"/>
      </w:tblGrid>
      <w:tr>
        <w:trPr>
          <w:tblHeader/>
        </w:trPr>
        <w:tc>
          <w:tcPr>
            <w:tcW w:type="dxa" w:w="200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PII type</w:t>
            </w:r>
          </w:p>
        </w:tc>
        <w:tc>
          <w:tcPr>
            <w:tcW w:type="dxa" w:w="220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Where stored</w:t>
            </w:r>
          </w:p>
        </w:tc>
        <w:tc>
          <w:tcPr>
            <w:tcW w:type="dxa" w:w="180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Shared with</w:t>
            </w:r>
          </w:p>
        </w:tc>
        <w:tc>
          <w:tcPr>
            <w:tcW w:type="dxa" w:w="156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Retention</w:t>
            </w:r>
          </w:p>
        </w:tc>
        <w:tc>
          <w:tcPr>
            <w:tcW w:type="dxa" w:w="180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Risk flag</w:t>
            </w:r>
          </w:p>
        </w:tc>
      </w:tr>
      <w:tr>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C2833"/>
                <w:sz w:val="18"/>
                <w:szCs w:val="18"/>
              </w:rPr>
              <w:t xml:space="preserve">Name, email, phone</w:t>
            </w:r>
          </w:p>
        </w:tc>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PostgreSQL — users table</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Mailchimp, Segment, Intercom</w:t>
            </w:r>
          </w:p>
        </w:tc>
        <w:tc>
          <w:tcPr>
            <w:tcW w:type="dxa" w:w="1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None defined</w:t>
            </w:r>
          </w:p>
        </w:tc>
        <w:tc>
          <w:tcPr>
            <w:tcW w:type="dxa" w:w="180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left"/>
            </w:pPr>
            <w:r>
              <w:rPr>
                <w:rFonts w:ascii="Arial" w:cs="Arial" w:eastAsia="Arial" w:hAnsi="Arial"/>
                <w:b/>
                <w:bCs/>
                <w:i w:val="false"/>
                <w:iCs w:val="false"/>
                <w:color w:val="C0392B"/>
                <w:sz w:val="16"/>
                <w:szCs w:val="16"/>
              </w:rPr>
              <w:t xml:space="preserve">🔴 No policy</w:t>
            </w:r>
          </w:p>
        </w:tc>
      </w:tr>
      <w:tr>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C2833"/>
                <w:sz w:val="18"/>
                <w:szCs w:val="18"/>
              </w:rPr>
              <w:t xml:space="preserve">Password hash (bcrypt)</w:t>
            </w:r>
          </w:p>
        </w:tc>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PostgreSQL — users table</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Not shared</w:t>
            </w:r>
          </w:p>
        </w:tc>
        <w:tc>
          <w:tcPr>
            <w:tcW w:type="dxa" w:w="1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None defined</w:t>
            </w:r>
          </w:p>
        </w:tc>
        <w:tc>
          <w:tcPr>
            <w:tcW w:type="dxa" w:w="180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left"/>
            </w:pPr>
            <w:r>
              <w:rPr>
                <w:rFonts w:ascii="Arial" w:cs="Arial" w:eastAsia="Arial" w:hAnsi="Arial"/>
                <w:b/>
                <w:bCs/>
                <w:i w:val="false"/>
                <w:iCs w:val="false"/>
                <w:color w:val="C0392B"/>
                <w:sz w:val="16"/>
                <w:szCs w:val="16"/>
              </w:rPr>
              <w:t xml:space="preserve">🔴 No policy</w:t>
            </w:r>
          </w:p>
        </w:tc>
      </w:tr>
      <w:tr>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C2833"/>
                <w:sz w:val="18"/>
                <w:szCs w:val="18"/>
              </w:rPr>
              <w:t xml:space="preserve">health_status</w:t>
            </w:r>
          </w:p>
        </w:tc>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PostgreSQL — users table</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None</w:t>
            </w:r>
          </w:p>
        </w:tc>
        <w:tc>
          <w:tcPr>
            <w:tcW w:type="dxa" w:w="1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None defined</w:t>
            </w:r>
          </w:p>
        </w:tc>
        <w:tc>
          <w:tcPr>
            <w:tcW w:type="dxa" w:w="180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left"/>
            </w:pPr>
            <w:r>
              <w:rPr>
                <w:rFonts w:ascii="Arial" w:cs="Arial" w:eastAsia="Arial" w:hAnsi="Arial"/>
                <w:b/>
                <w:bCs/>
                <w:i w:val="false"/>
                <w:iCs w:val="false"/>
                <w:color w:val="C0392B"/>
                <w:sz w:val="16"/>
                <w:szCs w:val="16"/>
              </w:rPr>
              <w:t xml:space="preserve">🔴 Special category</w:t>
            </w:r>
          </w:p>
        </w:tc>
      </w:tr>
      <w:tr>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C2833"/>
                <w:sz w:val="18"/>
                <w:szCs w:val="18"/>
              </w:rPr>
              <w:t xml:space="preserve">IP address, device ID</w:t>
            </w:r>
          </w:p>
        </w:tc>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App logs, Sentry</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Sentry</w:t>
            </w:r>
          </w:p>
        </w:tc>
        <w:tc>
          <w:tcPr>
            <w:tcW w:type="dxa" w:w="1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30 days (logs only)</w:t>
            </w:r>
          </w:p>
        </w:tc>
        <w:tc>
          <w:tcPr>
            <w:tcW w:type="dxa" w:w="18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6"/>
                <w:szCs w:val="16"/>
              </w:rPr>
              <w:t xml:space="preserve">🟠 Inconsistent</w:t>
            </w:r>
          </w:p>
        </w:tc>
      </w:tr>
      <w:tr>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C2833"/>
                <w:sz w:val="18"/>
                <w:szCs w:val="18"/>
              </w:rPr>
              <w:t xml:space="preserve">Payment method (tokenised)</w:t>
            </w:r>
          </w:p>
        </w:tc>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Stripe — not stored locally</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Stripe</w:t>
            </w:r>
          </w:p>
        </w:tc>
        <w:tc>
          <w:tcPr>
            <w:tcW w:type="dxa" w:w="1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Per Stripe policy</w:t>
            </w:r>
          </w:p>
        </w:tc>
        <w:tc>
          <w:tcPr>
            <w:tcW w:type="dxa" w:w="1800"/>
            <w:tcBorders>
              <w:top w:val="single" w:color="AAAAAA" w:sz="1"/>
              <w:left w:val="single" w:color="AAAAAA" w:sz="1"/>
              <w:bottom w:val="single" w:color="AAAAAA" w:sz="1"/>
              <w:right w:val="single" w:color="AAAAAA" w:sz="1"/>
            </w:tcBorders>
            <w:shd w:fill="D5F5E3" w:val="clear"/>
            <w:tcMar>
              <w:top w:type="dxa" w:w="80"/>
              <w:left w:type="dxa" w:w="120"/>
              <w:bottom w:type="dxa" w:w="80"/>
              <w:right w:type="dxa" w:w="120"/>
            </w:tcMar>
            <w:vAlign w:val="center"/>
          </w:tcPr>
          <w:p>
            <w:pPr>
              <w:jc w:val="left"/>
            </w:pPr>
            <w:r>
              <w:rPr>
                <w:rFonts w:ascii="Arial" w:cs="Arial" w:eastAsia="Arial" w:hAnsi="Arial"/>
                <w:b/>
                <w:bCs/>
                <w:i w:val="false"/>
                <w:iCs w:val="false"/>
                <w:color w:val="1E8449"/>
                <w:sz w:val="16"/>
                <w:szCs w:val="16"/>
              </w:rPr>
              <w:t xml:space="preserve">✅ Stripe-managed</w:t>
            </w:r>
          </w:p>
        </w:tc>
      </w:tr>
      <w:tr>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C2833"/>
                <w:sz w:val="18"/>
                <w:szCs w:val="18"/>
              </w:rPr>
              <w:t xml:space="preserve">marketing_opt_in flag</w:t>
            </w:r>
          </w:p>
        </w:tc>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PostgreSQL — users table</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Mailchimp</w:t>
            </w:r>
          </w:p>
        </w:tc>
        <w:tc>
          <w:tcPr>
            <w:tcW w:type="dxa" w:w="1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Lifetime</w:t>
            </w:r>
          </w:p>
        </w:tc>
        <w:tc>
          <w:tcPr>
            <w:tcW w:type="dxa" w:w="180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left"/>
            </w:pPr>
            <w:r>
              <w:rPr>
                <w:rFonts w:ascii="Arial" w:cs="Arial" w:eastAsia="Arial" w:hAnsi="Arial"/>
                <w:b/>
                <w:bCs/>
                <w:i w:val="false"/>
                <w:iCs w:val="false"/>
                <w:color w:val="C0392B"/>
                <w:sz w:val="16"/>
                <w:szCs w:val="16"/>
              </w:rPr>
              <w:t xml:space="preserve">🔴 No deletion</w:t>
            </w:r>
          </w:p>
        </w:tc>
      </w:tr>
      <w:tr>
        <w:tc>
          <w:tcPr>
            <w:tcW w:type="dxa" w:w="20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C2833"/>
                <w:sz w:val="18"/>
                <w:szCs w:val="18"/>
              </w:rPr>
              <w:t xml:space="preserve">Session tokens</w:t>
            </w:r>
          </w:p>
        </w:tc>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Browser localStorage</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Not shared</w:t>
            </w:r>
          </w:p>
        </w:tc>
        <w:tc>
          <w:tcPr>
            <w:tcW w:type="dxa" w:w="15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Session only</w:t>
            </w:r>
          </w:p>
        </w:tc>
        <w:tc>
          <w:tcPr>
            <w:tcW w:type="dxa" w:w="180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left"/>
            </w:pPr>
            <w:r>
              <w:rPr>
                <w:rFonts w:ascii="Arial" w:cs="Arial" w:eastAsia="Arial" w:hAnsi="Arial"/>
                <w:b/>
                <w:bCs/>
                <w:i w:val="false"/>
                <w:iCs w:val="false"/>
                <w:color w:val="C0392B"/>
                <w:sz w:val="16"/>
                <w:szCs w:val="16"/>
              </w:rPr>
              <w:t xml:space="preserve">🔴 XSS-vulnerable</w:t>
            </w:r>
          </w:p>
        </w:tc>
      </w:tr>
    </w:tbl>
    <w:p>
      <w:pPr>
        <w:spacing w:after="80"/>
      </w:pPr>
      <w:r>
        <w:t xml:space="preserve"/>
      </w:r>
    </w:p>
    <w:p>
      <w:pPr>
        <w:spacing w:after="80"/>
      </w:pPr>
      <w:r>
        <w:t xml:space="preserve"/>
      </w:r>
    </w:p>
    <w:p>
      <w:pPr>
        <w:pStyle w:val="Heading2"/>
      </w:pPr>
      <w:r>
        <w:rPr>
          <w:rFonts w:ascii="Arial" w:cs="Arial" w:eastAsia="Arial" w:hAnsi="Arial"/>
        </w:rPr>
        <w:t xml:space="preserve">B2. Processor research</w:t>
      </w:r>
    </w:p>
    <w:p>
      <w:pPr>
        <w:spacing w:after="100"/>
      </w:pPr>
      <w:r>
        <w:rPr>
          <w:rFonts w:ascii="Arial" w:cs="Arial" w:eastAsia="Arial" w:hAnsi="Arial"/>
          <w:sz w:val="20"/>
          <w:szCs w:val="20"/>
        </w:rPr>
        <w:t xml:space="preserve">Research conducted in parallel for all processors detected in the codebase.</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1300"/>
        <w:gridCol w:w="1500"/>
        <w:gridCol w:w="1360"/>
        <w:gridCol w:w="1800"/>
        <w:gridCol w:w="2200"/>
      </w:tblGrid>
      <w:tr>
        <w:trPr>
          <w:tblHeader/>
        </w:trPr>
        <w:tc>
          <w:tcPr>
            <w:tcW w:type="dxa" w:w="120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Processor</w:t>
            </w:r>
          </w:p>
        </w:tc>
        <w:tc>
          <w:tcPr>
            <w:tcW w:type="dxa" w:w="130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DPA status</w:t>
            </w:r>
          </w:p>
        </w:tc>
        <w:tc>
          <w:tcPr>
            <w:tcW w:type="dxa" w:w="150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Transfer</w:t>
            </w:r>
          </w:p>
        </w:tc>
        <w:tc>
          <w:tcPr>
            <w:tcW w:type="dxa" w:w="136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Regions</w:t>
            </w:r>
          </w:p>
        </w:tc>
        <w:tc>
          <w:tcPr>
            <w:tcW w:type="dxa" w:w="180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DPA location</w:t>
            </w:r>
          </w:p>
        </w:tc>
        <w:tc>
          <w:tcPr>
            <w:tcW w:type="dxa" w:w="220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Action needed</w:t>
            </w:r>
          </w:p>
        </w:tc>
      </w:tr>
      <w:tr>
        <w:tc>
          <w:tcPr>
            <w:tcW w:type="dxa" w:w="1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Stripe</w:t>
            </w:r>
          </w:p>
        </w:tc>
        <w:tc>
          <w:tcPr>
            <w:tcW w:type="dxa" w:w="1300"/>
            <w:tcBorders>
              <w:top w:val="single" w:color="AAAAAA" w:sz="1"/>
              <w:left w:val="single" w:color="AAAAAA" w:sz="1"/>
              <w:bottom w:val="single" w:color="AAAAAA" w:sz="1"/>
              <w:right w:val="single" w:color="AAAAAA" w:sz="1"/>
            </w:tcBorders>
            <w:shd w:fill="D5F5E3"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Available</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DPF certified</w:t>
            </w:r>
          </w:p>
        </w:tc>
        <w:tc>
          <w:tcPr>
            <w:tcW w:type="dxa" w:w="13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US + EU</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5"/>
                <w:szCs w:val="15"/>
              </w:rPr>
              <w:t xml:space="preserve">stripe.com/legal/dpa</w:t>
            </w:r>
          </w:p>
        </w:tc>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Sign DPA via self-serve portal</w:t>
            </w:r>
          </w:p>
        </w:tc>
      </w:tr>
      <w:tr>
        <w:tc>
          <w:tcPr>
            <w:tcW w:type="dxa" w:w="1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Mailchimp</w:t>
            </w:r>
          </w:p>
        </w:tc>
        <w:tc>
          <w:tcPr>
            <w:tcW w:type="dxa" w:w="1300"/>
            <w:tcBorders>
              <w:top w:val="single" w:color="AAAAAA" w:sz="1"/>
              <w:left w:val="single" w:color="AAAAAA" w:sz="1"/>
              <w:bottom w:val="single" w:color="AAAAAA" w:sz="1"/>
              <w:right w:val="single" w:color="AAAAAA" w:sz="1"/>
            </w:tcBorders>
            <w:shd w:fill="D5F5E3"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Available</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DPF certified</w:t>
            </w:r>
          </w:p>
        </w:tc>
        <w:tc>
          <w:tcPr>
            <w:tcW w:type="dxa" w:w="13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US</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5"/>
                <w:szCs w:val="15"/>
              </w:rPr>
              <w:t xml:space="preserve">mailchimp.com/legal/dpa</w:t>
            </w:r>
          </w:p>
        </w:tc>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Sign DPA; enable EU data residency</w:t>
            </w:r>
          </w:p>
        </w:tc>
      </w:tr>
      <w:tr>
        <w:tc>
          <w:tcPr>
            <w:tcW w:type="dxa" w:w="1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Segment</w:t>
            </w:r>
          </w:p>
        </w:tc>
        <w:tc>
          <w:tcPr>
            <w:tcW w:type="dxa" w:w="1300"/>
            <w:tcBorders>
              <w:top w:val="single" w:color="AAAAAA" w:sz="1"/>
              <w:left w:val="single" w:color="AAAAAA" w:sz="1"/>
              <w:bottom w:val="single" w:color="AAAAAA" w:sz="1"/>
              <w:right w:val="single" w:color="AAAAAA" w:sz="1"/>
            </w:tcBorders>
            <w:shd w:fill="D5F5E3"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Available</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SCCs in DPA</w:t>
            </w:r>
          </w:p>
        </w:tc>
        <w:tc>
          <w:tcPr>
            <w:tcW w:type="dxa" w:w="13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US</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5"/>
                <w:szCs w:val="15"/>
              </w:rPr>
              <w:t xml:space="preserve">segment.com/legal/dpa</w:t>
            </w:r>
          </w:p>
        </w:tc>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Sign DPA; review sub-processor list</w:t>
            </w:r>
          </w:p>
        </w:tc>
      </w:tr>
      <w:tr>
        <w:tc>
          <w:tcPr>
            <w:tcW w:type="dxa" w:w="1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Google GA4</w:t>
            </w:r>
          </w:p>
        </w:tc>
        <w:tc>
          <w:tcPr>
            <w:tcW w:type="dxa" w:w="1300"/>
            <w:tcBorders>
              <w:top w:val="single" w:color="AAAAAA" w:sz="1"/>
              <w:left w:val="single" w:color="AAAAAA" w:sz="1"/>
              <w:bottom w:val="single" w:color="AAAAAA" w:sz="1"/>
              <w:right w:val="single" w:color="AAAAAA" w:sz="1"/>
            </w:tcBorders>
            <w:shd w:fill="D5F5E3"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Available</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DPF certified</w:t>
            </w:r>
          </w:p>
        </w:tc>
        <w:tc>
          <w:tcPr>
            <w:tcW w:type="dxa" w:w="13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US+EU</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5"/>
                <w:szCs w:val="15"/>
              </w:rPr>
              <w:t xml:space="preserve">GA4 admin settings</w:t>
            </w:r>
          </w:p>
        </w:tc>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Accept terms in GA4; sign joint controller addendum</w:t>
            </w:r>
          </w:p>
        </w:tc>
      </w:tr>
      <w:tr>
        <w:tc>
          <w:tcPr>
            <w:tcW w:type="dxa" w:w="1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Meta Pixel</w:t>
            </w:r>
          </w:p>
        </w:tc>
        <w:tc>
          <w:tcPr>
            <w:tcW w:type="dxa" w:w="130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E67E22"/>
                <w:sz w:val="16"/>
                <w:szCs w:val="16"/>
              </w:rPr>
              <w:t xml:space="preserve">⚠️ Complex</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DPF certified</w:t>
            </w:r>
          </w:p>
        </w:tc>
        <w:tc>
          <w:tcPr>
            <w:tcW w:type="dxa" w:w="13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US</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5"/>
                <w:szCs w:val="15"/>
              </w:rPr>
              <w:t xml:space="preserve">Meta Business settings</w:t>
            </w:r>
          </w:p>
        </w:tc>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Accept joint controller addendum; gate behind CMP</w:t>
            </w:r>
          </w:p>
        </w:tc>
      </w:tr>
      <w:tr>
        <w:tc>
          <w:tcPr>
            <w:tcW w:type="dxa" w:w="1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Sentry</w:t>
            </w:r>
          </w:p>
        </w:tc>
        <w:tc>
          <w:tcPr>
            <w:tcW w:type="dxa" w:w="1300"/>
            <w:tcBorders>
              <w:top w:val="single" w:color="AAAAAA" w:sz="1"/>
              <w:left w:val="single" w:color="AAAAAA" w:sz="1"/>
              <w:bottom w:val="single" w:color="AAAAAA" w:sz="1"/>
              <w:right w:val="single" w:color="AAAAAA" w:sz="1"/>
            </w:tcBorders>
            <w:shd w:fill="D5F5E3"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Available</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SCCs in DPA</w:t>
            </w:r>
          </w:p>
        </w:tc>
        <w:tc>
          <w:tcPr>
            <w:tcW w:type="dxa" w:w="13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US/EU</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5"/>
                <w:szCs w:val="15"/>
              </w:rPr>
              <w:t xml:space="preserve">sentry.io/legal/dpa</w:t>
            </w:r>
          </w:p>
        </w:tc>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Enable EU storage; configure PII scrubbing</w:t>
            </w:r>
          </w:p>
        </w:tc>
      </w:tr>
      <w:tr>
        <w:tc>
          <w:tcPr>
            <w:tcW w:type="dxa" w:w="1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bCs/>
                <w:i w:val="false"/>
                <w:iCs w:val="false"/>
                <w:color w:val="1A5276"/>
                <w:sz w:val="18"/>
                <w:szCs w:val="18"/>
              </w:rPr>
              <w:t xml:space="preserve">Intercom</w:t>
            </w:r>
          </w:p>
        </w:tc>
        <w:tc>
          <w:tcPr>
            <w:tcW w:type="dxa" w:w="1300"/>
            <w:tcBorders>
              <w:top w:val="single" w:color="AAAAAA" w:sz="1"/>
              <w:left w:val="single" w:color="AAAAAA" w:sz="1"/>
              <w:bottom w:val="single" w:color="AAAAAA" w:sz="1"/>
              <w:right w:val="single" w:color="AAAAAA" w:sz="1"/>
            </w:tcBorders>
            <w:shd w:fill="D5F5E3"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E8449"/>
                <w:sz w:val="16"/>
                <w:szCs w:val="16"/>
              </w:rPr>
              <w:t xml:space="preserve">✅ Available</w:t>
            </w:r>
          </w:p>
        </w:tc>
        <w:tc>
          <w:tcPr>
            <w:tcW w:type="dxa" w:w="15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DPF certified</w:t>
            </w:r>
          </w:p>
        </w:tc>
        <w:tc>
          <w:tcPr>
            <w:tcW w:type="dxa" w:w="136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US+EU</w:t>
            </w:r>
          </w:p>
        </w:tc>
        <w:tc>
          <w:tcPr>
            <w:tcW w:type="dxa" w:w="18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5D6D7E"/>
                <w:sz w:val="15"/>
                <w:szCs w:val="15"/>
              </w:rPr>
              <w:t xml:space="preserve">intercom.com/legal</w:t>
            </w:r>
          </w:p>
        </w:tc>
        <w:tc>
          <w:tcPr>
            <w:tcW w:type="dxa" w:w="22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Sign DPA; verify EU data residency setting</w:t>
            </w:r>
          </w:p>
        </w:tc>
      </w:tr>
    </w:tbl>
    <w:p>
      <w:pPr>
        <w:pageBreakBefore/>
      </w:pPr>
      <w:r>
        <w:t xml:space="preserve"/>
      </w:r>
    </w:p>
    <w:p>
      <w:pPr>
        <w:pStyle w:val="Heading1"/>
      </w:pPr>
      <w:r>
        <w:rPr>
          <w:rFonts w:ascii="Arial" w:cs="Arial" w:eastAsia="Arial" w:hAnsi="Arial"/>
        </w:rPr>
        <w:t xml:space="preserve">Appendix C — Generated documents index</w:t>
      </w:r>
    </w:p>
    <w:p>
      <w:pPr>
        <w:spacing w:after="100"/>
      </w:pPr>
      <w:r>
        <w:rPr>
          <w:rFonts w:ascii="Arial" w:cs="Arial" w:eastAsia="Arial" w:hAnsi="Arial"/>
          <w:sz w:val="20"/>
          <w:szCs w:val="20"/>
        </w:rPr>
        <w:t xml:space="preserve">All documents generated in this audit run. Fields marked [TO CONFIRM] require legal review before use.</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400"/>
        <w:gridCol w:w="3600"/>
        <w:gridCol w:w="2360"/>
      </w:tblGrid>
      <w:tr>
        <w:trPr>
          <w:tblHeader/>
        </w:trPr>
        <w:tc>
          <w:tcPr>
            <w:tcW w:type="dxa" w:w="340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Filename</w:t>
            </w:r>
          </w:p>
        </w:tc>
        <w:tc>
          <w:tcPr>
            <w:tcW w:type="dxa" w:w="360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Contents</w:t>
            </w:r>
          </w:p>
        </w:tc>
        <w:tc>
          <w:tcPr>
            <w:tcW w:type="dxa" w:w="2360"/>
            <w:tcBorders>
              <w:top w:val="single" w:color="AAAAAA" w:sz="1"/>
              <w:left w:val="single" w:color="AAAAAA" w:sz="1"/>
              <w:bottom w:val="single" w:color="AAAAAA" w:sz="1"/>
              <w:right w:val="single" w:color="AAAAAA" w:sz="1"/>
            </w:tcBorders>
            <w:shd w:fill="1A3A5C" w:val="clear"/>
            <w:tcMar>
              <w:top w:type="dxa" w:w="80"/>
              <w:left w:type="dxa" w:w="120"/>
              <w:bottom w:type="dxa" w:w="80"/>
              <w:right w:type="dxa" w:w="120"/>
            </w:tcMar>
            <w:vAlign w:val="center"/>
          </w:tcPr>
          <w:p>
            <w:pPr>
              <w:jc w:val="left"/>
            </w:pPr>
            <w:r>
              <w:rPr>
                <w:rFonts w:ascii="Arial" w:cs="Arial" w:eastAsia="Arial" w:hAnsi="Arial"/>
                <w:b/>
                <w:bCs/>
                <w:i w:val="false"/>
                <w:iCs w:val="false"/>
                <w:color w:val="FFFFFF"/>
                <w:sz w:val="18"/>
                <w:szCs w:val="18"/>
              </w:rPr>
              <w:t xml:space="preserve">Status</w:t>
            </w:r>
          </w:p>
        </w:tc>
      </w:tr>
      <w:tr>
        <w:tc>
          <w:tcPr>
            <w:tcW w:type="dxa" w:w="34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1A5276"/>
                <w:sz w:val="15"/>
                <w:szCs w:val="15"/>
              </w:rPr>
              <w:t xml:space="preserve">gdpr-gap-analysis-acme-2025-05-25.docx</w:t>
            </w:r>
          </w:p>
        </w:tc>
        <w:tc>
          <w:tcPr>
            <w:tcW w:type="dxa" w:w="3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Full gap analysis report (this document)</w:t>
            </w:r>
          </w:p>
        </w:tc>
        <w:tc>
          <w:tcPr>
            <w:tcW w:type="dxa" w:w="2360"/>
            <w:tcBorders>
              <w:top w:val="single" w:color="AAAAAA" w:sz="1"/>
              <w:left w:val="single" w:color="AAAAAA" w:sz="1"/>
              <w:bottom w:val="single" w:color="AAAAAA" w:sz="1"/>
              <w:right w:val="single" w:color="AAAAAA" w:sz="1"/>
            </w:tcBorders>
            <w:shd w:fill="D5F5E3" w:val="clear"/>
            <w:tcMar>
              <w:top w:type="dxa" w:w="80"/>
              <w:left w:type="dxa" w:w="120"/>
              <w:bottom w:type="dxa" w:w="80"/>
              <w:right w:type="dxa" w:w="120"/>
            </w:tcMar>
            <w:vAlign w:val="center"/>
          </w:tcPr>
          <w:p>
            <w:pPr>
              <w:jc w:val="left"/>
            </w:pPr>
            <w:r>
              <w:rPr>
                <w:rFonts w:ascii="Arial" w:cs="Arial" w:eastAsia="Arial" w:hAnsi="Arial"/>
                <w:b/>
                <w:bCs/>
                <w:i w:val="false"/>
                <w:iCs w:val="false"/>
                <w:color w:val="1E8449"/>
                <w:sz w:val="15"/>
                <w:szCs w:val="15"/>
              </w:rPr>
              <w:t xml:space="preserve">Complete</w:t>
            </w:r>
          </w:p>
        </w:tc>
      </w:tr>
      <w:tr>
        <w:tc>
          <w:tcPr>
            <w:tcW w:type="dxa" w:w="34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1A5276"/>
                <w:sz w:val="15"/>
                <w:szCs w:val="15"/>
              </w:rPr>
              <w:t xml:space="preserve">dpa-template-acme-2025-05-25.docx</w:t>
            </w:r>
          </w:p>
        </w:tc>
        <w:tc>
          <w:tcPr>
            <w:tcW w:type="dxa" w:w="3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Pre-filled Data Processing Agreement</w:t>
            </w:r>
          </w:p>
        </w:tc>
        <w:tc>
          <w:tcPr>
            <w:tcW w:type="dxa" w:w="236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5"/>
                <w:szCs w:val="15"/>
              </w:rPr>
              <w:t xml:space="preserve">[TO CONFIRM] Legal review required</w:t>
            </w:r>
          </w:p>
        </w:tc>
      </w:tr>
      <w:tr>
        <w:tc>
          <w:tcPr>
            <w:tcW w:type="dxa" w:w="34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1A5276"/>
                <w:sz w:val="15"/>
                <w:szCs w:val="15"/>
              </w:rPr>
              <w:t xml:space="preserve">lia-analytics-acme-2025-05-25.docx</w:t>
            </w:r>
          </w:p>
        </w:tc>
        <w:tc>
          <w:tcPr>
            <w:tcW w:type="dxa" w:w="3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Legitimate Interest Assessment — analytics</w:t>
            </w:r>
          </w:p>
        </w:tc>
        <w:tc>
          <w:tcPr>
            <w:tcW w:type="dxa" w:w="236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5"/>
                <w:szCs w:val="15"/>
              </w:rPr>
              <w:t xml:space="preserve">[TO CONFIRM] Legal review required</w:t>
            </w:r>
          </w:p>
        </w:tc>
      </w:tr>
      <w:tr>
        <w:tc>
          <w:tcPr>
            <w:tcW w:type="dxa" w:w="34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1A5276"/>
                <w:sz w:val="15"/>
                <w:szCs w:val="15"/>
              </w:rPr>
              <w:t xml:space="preserve">dpia-health-data-acme-2025-05-25.docx</w:t>
            </w:r>
          </w:p>
        </w:tc>
        <w:tc>
          <w:tcPr>
            <w:tcW w:type="dxa" w:w="3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DPIA — health_status field processing</w:t>
            </w:r>
          </w:p>
        </w:tc>
        <w:tc>
          <w:tcPr>
            <w:tcW w:type="dxa" w:w="236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5"/>
                <w:szCs w:val="15"/>
              </w:rPr>
              <w:t xml:space="preserve">[TO CONFIRM] DPO sign-off required</w:t>
            </w:r>
          </w:p>
        </w:tc>
      </w:tr>
      <w:tr>
        <w:tc>
          <w:tcPr>
            <w:tcW w:type="dxa" w:w="34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1A5276"/>
                <w:sz w:val="15"/>
                <w:szCs w:val="15"/>
              </w:rPr>
              <w:t xml:space="preserve">ropa-acme-2025-05-25.docx</w:t>
            </w:r>
          </w:p>
        </w:tc>
        <w:tc>
          <w:tcPr>
            <w:tcW w:type="dxa" w:w="3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Record of Processing Activities (ROPA)</w:t>
            </w:r>
          </w:p>
        </w:tc>
        <w:tc>
          <w:tcPr>
            <w:tcW w:type="dxa" w:w="2360"/>
            <w:tcBorders>
              <w:top w:val="single" w:color="AAAAAA" w:sz="1"/>
              <w:left w:val="single" w:color="AAAAAA" w:sz="1"/>
              <w:bottom w:val="single" w:color="AAAAAA" w:sz="1"/>
              <w:right w:val="single" w:color="AAAAAA" w:sz="1"/>
            </w:tcBorders>
            <w:shd w:fill="FADBD8" w:val="clear"/>
            <w:tcMar>
              <w:top w:type="dxa" w:w="80"/>
              <w:left w:type="dxa" w:w="120"/>
              <w:bottom w:type="dxa" w:w="80"/>
              <w:right w:type="dxa" w:w="120"/>
            </w:tcMar>
            <w:vAlign w:val="center"/>
          </w:tcPr>
          <w:p>
            <w:pPr>
              <w:jc w:val="left"/>
            </w:pPr>
            <w:r>
              <w:rPr>
                <w:rFonts w:ascii="Arial" w:cs="Arial" w:eastAsia="Arial" w:hAnsi="Arial"/>
                <w:b/>
                <w:bCs/>
                <w:i w:val="false"/>
                <w:iCs w:val="false"/>
                <w:color w:val="C0392B"/>
                <w:sz w:val="15"/>
                <w:szCs w:val="15"/>
              </w:rPr>
              <w:t xml:space="preserve">[TO DEFINE] Multiple fields need input</w:t>
            </w:r>
          </w:p>
        </w:tc>
      </w:tr>
      <w:tr>
        <w:tc>
          <w:tcPr>
            <w:tcW w:type="dxa" w:w="34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1A5276"/>
                <w:sz w:val="15"/>
                <w:szCs w:val="15"/>
              </w:rPr>
              <w:t xml:space="preserve">breach-response-acme-2025-05-25.docx</w:t>
            </w:r>
          </w:p>
        </w:tc>
        <w:tc>
          <w:tcPr>
            <w:tcW w:type="dxa" w:w="3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Breach response pack + runbook</w:t>
            </w:r>
          </w:p>
        </w:tc>
        <w:tc>
          <w:tcPr>
            <w:tcW w:type="dxa" w:w="2360"/>
            <w:tcBorders>
              <w:top w:val="single" w:color="AAAAAA" w:sz="1"/>
              <w:left w:val="single" w:color="AAAAAA" w:sz="1"/>
              <w:bottom w:val="single" w:color="AAAAAA" w:sz="1"/>
              <w:right w:val="single" w:color="AAAAAA" w:sz="1"/>
            </w:tcBorders>
            <w:shd w:fill="D5F5E3" w:val="clear"/>
            <w:tcMar>
              <w:top w:type="dxa" w:w="80"/>
              <w:left w:type="dxa" w:w="120"/>
              <w:bottom w:type="dxa" w:w="80"/>
              <w:right w:type="dxa" w:w="120"/>
            </w:tcMar>
            <w:vAlign w:val="center"/>
          </w:tcPr>
          <w:p>
            <w:pPr>
              <w:jc w:val="left"/>
            </w:pPr>
            <w:r>
              <w:rPr>
                <w:rFonts w:ascii="Arial" w:cs="Arial" w:eastAsia="Arial" w:hAnsi="Arial"/>
                <w:b/>
                <w:bCs/>
                <w:i w:val="false"/>
                <w:iCs w:val="false"/>
                <w:color w:val="1E8449"/>
                <w:sz w:val="15"/>
                <w:szCs w:val="15"/>
              </w:rPr>
              <w:t xml:space="preserve">Ready to adopt</w:t>
            </w:r>
          </w:p>
        </w:tc>
      </w:tr>
      <w:tr>
        <w:tc>
          <w:tcPr>
            <w:tcW w:type="dxa" w:w="34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1A5276"/>
                <w:sz w:val="15"/>
                <w:szCs w:val="15"/>
              </w:rPr>
              <w:t xml:space="preserve">access-governance-acme-2025-05-25.docx</w:t>
            </w:r>
          </w:p>
        </w:tc>
        <w:tc>
          <w:tcPr>
            <w:tcW w:type="dxa" w:w="3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Access register + quarterly review templates</w:t>
            </w:r>
          </w:p>
        </w:tc>
        <w:tc>
          <w:tcPr>
            <w:tcW w:type="dxa" w:w="2360"/>
            <w:tcBorders>
              <w:top w:val="single" w:color="AAAAAA" w:sz="1"/>
              <w:left w:val="single" w:color="AAAAAA" w:sz="1"/>
              <w:bottom w:val="single" w:color="AAAAAA" w:sz="1"/>
              <w:right w:val="single" w:color="AAAAAA" w:sz="1"/>
            </w:tcBorders>
            <w:shd w:fill="D5F5E3" w:val="clear"/>
            <w:tcMar>
              <w:top w:type="dxa" w:w="80"/>
              <w:left w:type="dxa" w:w="120"/>
              <w:bottom w:type="dxa" w:w="80"/>
              <w:right w:type="dxa" w:w="120"/>
            </w:tcMar>
            <w:vAlign w:val="center"/>
          </w:tcPr>
          <w:p>
            <w:pPr>
              <w:jc w:val="left"/>
            </w:pPr>
            <w:r>
              <w:rPr>
                <w:rFonts w:ascii="Arial" w:cs="Arial" w:eastAsia="Arial" w:hAnsi="Arial"/>
                <w:b/>
                <w:bCs/>
                <w:i w:val="false"/>
                <w:iCs w:val="false"/>
                <w:color w:val="1E8449"/>
                <w:sz w:val="15"/>
                <w:szCs w:val="15"/>
              </w:rPr>
              <w:t xml:space="preserve">Ready to adopt</w:t>
            </w:r>
          </w:p>
        </w:tc>
      </w:tr>
      <w:tr>
        <w:tc>
          <w:tcPr>
            <w:tcW w:type="dxa" w:w="34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1A5276"/>
                <w:sz w:val="15"/>
                <w:szCs w:val="15"/>
              </w:rPr>
              <w:t xml:space="preserve">training-awareness-acme-2025-05-25.docx</w:t>
            </w:r>
          </w:p>
        </w:tc>
        <w:tc>
          <w:tcPr>
            <w:tcW w:type="dxa" w:w="3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Training programme + evidence templates</w:t>
            </w:r>
          </w:p>
        </w:tc>
        <w:tc>
          <w:tcPr>
            <w:tcW w:type="dxa" w:w="2360"/>
            <w:tcBorders>
              <w:top w:val="single" w:color="AAAAAA" w:sz="1"/>
              <w:left w:val="single" w:color="AAAAAA" w:sz="1"/>
              <w:bottom w:val="single" w:color="AAAAAA" w:sz="1"/>
              <w:right w:val="single" w:color="AAAAAA" w:sz="1"/>
            </w:tcBorders>
            <w:shd w:fill="D5F5E3" w:val="clear"/>
            <w:tcMar>
              <w:top w:type="dxa" w:w="80"/>
              <w:left w:type="dxa" w:w="120"/>
              <w:bottom w:type="dxa" w:w="80"/>
              <w:right w:type="dxa" w:w="120"/>
            </w:tcMar>
            <w:vAlign w:val="center"/>
          </w:tcPr>
          <w:p>
            <w:pPr>
              <w:jc w:val="left"/>
            </w:pPr>
            <w:r>
              <w:rPr>
                <w:rFonts w:ascii="Arial" w:cs="Arial" w:eastAsia="Arial" w:hAnsi="Arial"/>
                <w:b/>
                <w:bCs/>
                <w:i w:val="false"/>
                <w:iCs w:val="false"/>
                <w:color w:val="1E8449"/>
                <w:sz w:val="15"/>
                <w:szCs w:val="15"/>
              </w:rPr>
              <w:t xml:space="preserve">Ready to adopt</w:t>
            </w:r>
          </w:p>
        </w:tc>
      </w:tr>
      <w:tr>
        <w:tc>
          <w:tcPr>
            <w:tcW w:type="dxa" w:w="34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1A5276"/>
                <w:sz w:val="15"/>
                <w:szCs w:val="15"/>
              </w:rPr>
              <w:t xml:space="preserve">subprocessor-register-acme-2025-05-25.docx</w:t>
            </w:r>
          </w:p>
        </w:tc>
        <w:tc>
          <w:tcPr>
            <w:tcW w:type="dxa" w:w="3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Sub-processor register + notification template</w:t>
            </w:r>
          </w:p>
        </w:tc>
        <w:tc>
          <w:tcPr>
            <w:tcW w:type="dxa" w:w="2360"/>
            <w:tcBorders>
              <w:top w:val="single" w:color="AAAAAA" w:sz="1"/>
              <w:left w:val="single" w:color="AAAAAA" w:sz="1"/>
              <w:bottom w:val="single" w:color="AAAAAA" w:sz="1"/>
              <w:right w:val="single" w:color="AAAAAA" w:sz="1"/>
            </w:tcBorders>
            <w:shd w:fill="FDEBD0" w:val="clear"/>
            <w:tcMar>
              <w:top w:type="dxa" w:w="80"/>
              <w:left w:type="dxa" w:w="120"/>
              <w:bottom w:type="dxa" w:w="80"/>
              <w:right w:type="dxa" w:w="120"/>
            </w:tcMar>
            <w:vAlign w:val="center"/>
          </w:tcPr>
          <w:p>
            <w:pPr>
              <w:jc w:val="left"/>
            </w:pPr>
            <w:r>
              <w:rPr>
                <w:rFonts w:ascii="Arial" w:cs="Arial" w:eastAsia="Arial" w:hAnsi="Arial"/>
                <w:b/>
                <w:bCs/>
                <w:i w:val="false"/>
                <w:iCs w:val="false"/>
                <w:color w:val="E67E22"/>
                <w:sz w:val="15"/>
                <w:szCs w:val="15"/>
              </w:rPr>
              <w:t xml:space="preserve">[TO CONFIRM] Legal review required</w:t>
            </w:r>
          </w:p>
        </w:tc>
      </w:tr>
      <w:tr>
        <w:tc>
          <w:tcPr>
            <w:tcW w:type="dxa" w:w="34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iCs/>
                <w:color w:val="1A5276"/>
                <w:sz w:val="15"/>
                <w:szCs w:val="15"/>
              </w:rPr>
              <w:t xml:space="preserve">policy-acknowledgement-log-acme-2025-05-25.csv</w:t>
            </w:r>
          </w:p>
        </w:tc>
        <w:tc>
          <w:tcPr>
            <w:tcW w:type="dxa" w:w="3600"/>
            <w:tcBorders>
              <w:top w:val="single" w:color="AAAAAA" w:sz="1"/>
              <w:left w:val="single" w:color="AAAAAA" w:sz="1"/>
              <w:bottom w:val="single" w:color="AAAAAA" w:sz="1"/>
              <w:right w:val="single" w:color="AAAAAA" w:sz="1"/>
            </w:tcBorders>
            <w:shd w:fill="FFFFFF" w:val="clear"/>
            <w:tcMar>
              <w:top w:type="dxa" w:w="80"/>
              <w:left w:type="dxa" w:w="120"/>
              <w:bottom w:type="dxa" w:w="80"/>
              <w:right w:type="dxa" w:w="120"/>
            </w:tcMar>
            <w:vAlign w:val="center"/>
          </w:tcPr>
          <w:p>
            <w:pPr>
              <w:jc w:val="left"/>
            </w:pPr>
            <w:r>
              <w:rPr>
                <w:rFonts w:ascii="Arial" w:cs="Arial" w:eastAsia="Arial" w:hAnsi="Arial"/>
                <w:b w:val="false"/>
                <w:bCs w:val="false"/>
                <w:i w:val="false"/>
                <w:iCs w:val="false"/>
                <w:color w:val="1C2833"/>
                <w:sz w:val="16"/>
                <w:szCs w:val="16"/>
              </w:rPr>
              <w:t xml:space="preserve">Policy acknowledgement log (CSV)</w:t>
            </w:r>
          </w:p>
        </w:tc>
        <w:tc>
          <w:tcPr>
            <w:tcW w:type="dxa" w:w="2360"/>
            <w:tcBorders>
              <w:top w:val="single" w:color="AAAAAA" w:sz="1"/>
              <w:left w:val="single" w:color="AAAAAA" w:sz="1"/>
              <w:bottom w:val="single" w:color="AAAAAA" w:sz="1"/>
              <w:right w:val="single" w:color="AAAAAA" w:sz="1"/>
            </w:tcBorders>
            <w:shd w:fill="D5F5E3" w:val="clear"/>
            <w:tcMar>
              <w:top w:type="dxa" w:w="80"/>
              <w:left w:type="dxa" w:w="120"/>
              <w:bottom w:type="dxa" w:w="80"/>
              <w:right w:type="dxa" w:w="120"/>
            </w:tcMar>
            <w:vAlign w:val="center"/>
          </w:tcPr>
          <w:p>
            <w:pPr>
              <w:jc w:val="left"/>
            </w:pPr>
            <w:r>
              <w:rPr>
                <w:rFonts w:ascii="Arial" w:cs="Arial" w:eastAsia="Arial" w:hAnsi="Arial"/>
                <w:b/>
                <w:bCs/>
                <w:i w:val="false"/>
                <w:iCs w:val="false"/>
                <w:color w:val="1E8449"/>
                <w:sz w:val="15"/>
                <w:szCs w:val="15"/>
              </w:rPr>
              <w:t xml:space="preserve">Ready to use</w:t>
            </w:r>
          </w:p>
        </w:tc>
      </w:tr>
    </w:tbl>
    <w:p>
      <w:pPr>
        <w:spacing w:after="80"/>
      </w:pPr>
      <w:r>
        <w:t xml:space="preserve"/>
      </w:r>
    </w:p>
    <w:p>
      <w:pPr>
        <w:spacing w:after="80"/>
      </w:pPr>
      <w:r>
        <w:t xml:space="preserve"/>
      </w:r>
    </w:p>
    <w:p>
      <w:pPr>
        <w:pBdr>
          <w:top w:val="single" w:color="1A5276" w:sz="6" w:space="1"/>
        </w:pBdr>
        <w:spacing w:after="80" w:before="240"/>
      </w:pPr>
      <w:r>
        <w:rPr>
          <w:rFonts w:ascii="Arial" w:cs="Arial" w:eastAsia="Arial" w:hAnsi="Arial"/>
          <w:b/>
          <w:bCs/>
          <w:color w:val="1A5276"/>
          <w:sz w:val="24"/>
          <w:szCs w:val="24"/>
        </w:rPr>
        <w:t xml:space="preserve">Get audit-ready in 14 days with Sprinto</w:t>
      </w:r>
    </w:p>
    <w:p>
      <w:pPr>
        <w:spacing w:after="100"/>
      </w:pPr>
      <w:r>
        <w:rPr>
          <w:rFonts w:ascii="Arial" w:cs="Arial" w:eastAsia="Arial" w:hAnsi="Arial"/>
          <w:sz w:val="20"/>
          <w:szCs w:val="20"/>
        </w:rPr>
        <w:t xml:space="preserve">Sprinto automates GDPR compliance — continuous monitoring, automated evidence collection, and DPA management — so you can pass audits without the manual grind.</w:t>
      </w:r>
    </w:p>
    <w:p>
      <w:pPr>
        <w:spacing w:after="100"/>
      </w:pPr>
      <w:hyperlink w:history="1" r:id="rIdi5bo2jotlr7mm60cyj0eu">
        <w:r>
          <w:rPr>
            <w:rStyle w:val="Hyperlink"/>
            <w:rFonts w:ascii="Arial" w:cs="Arial" w:eastAsia="Arial" w:hAnsi="Arial"/>
            <w:sz w:val="20"/>
            <w:szCs w:val="20"/>
          </w:rPr>
          <w:t xml:space="preserve">Start your 14-day audit sprint →</w:t>
        </w:r>
      </w:hyperlink>
    </w:p>
    <w:p>
      <w:pPr>
        <w:spacing w:after="60"/>
      </w:pPr>
      <w:hyperlink w:history="1" r:id="rIdjowz5v1h0anu2cbd_31rw">
        <w:r>
          <w:rPr>
            <w:rFonts w:ascii="Arial" w:cs="Arial" w:eastAsia="Arial" w:hAnsi="Arial"/>
            <w:b/>
            <w:bCs/>
            <w:color w:val="1A5276"/>
            <w:sz w:val="28"/>
            <w:szCs w:val="28"/>
          </w:rPr>
          <w:t xml:space="preserve">sprinto</w:t>
        </w:r>
        <w:r>
          <w:rPr>
            <w:rFonts w:ascii="Arial" w:cs="Arial" w:eastAsia="Arial" w:hAnsi="Arial"/>
            <w:b/>
            <w:bCs/>
            <w:color w:val="E67E22"/>
            <w:sz w:val="28"/>
            <w:szCs w:val="28"/>
          </w:rPr>
          <w:t xml:space="preserve">.</w:t>
        </w:r>
        <w:r>
          <w:rPr>
            <w:rFonts w:ascii="Arial" w:cs="Arial" w:eastAsia="Arial" w:hAnsi="Arial"/>
            <w:b/>
            <w:bCs/>
            <w:color w:val="1A5276"/>
            <w:sz w:val="28"/>
            <w:szCs w:val="28"/>
          </w:rPr>
          <w:t xml:space="preserve">com</w:t>
        </w:r>
      </w:hyperlink>
    </w:p>
    <w:p>
      <w:pPr>
        <w:spacing w:after="40"/>
      </w:pPr>
      <w:r>
        <w:rPr>
          <w:rFonts w:ascii="Arial" w:cs="Arial" w:eastAsia="Arial" w:hAnsi="Arial"/>
          <w:i/>
          <w:iCs/>
          <w:color w:val="5D6D7E"/>
          <w:sz w:val="16"/>
          <w:szCs w:val="16"/>
        </w:rPr>
        <w:t xml:space="preserve">Note: The Sprinto logo image appears here in the final delivered report. Replace this text block with the logo PNG at https://sprinto.com/wp-content/uploads/2025/11/sprinto-site-logo-dark.png once downloaded.</w:t>
      </w:r>
    </w:p>
    <w:sectPr>
      <w:headerReference w:type="default" r:id="rId7"/>
      <w:footerReference w:type="default" r:id="rId8"/>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1A5276" w:sz="6" w:space="1"/>
      </w:pBdr>
      <w:tabs>
        <w:tab w:val="right" w:pos="9360"/>
      </w:tabs>
    </w:pPr>
    <w:r>
      <w:rPr>
        <w:rFonts w:ascii="Arial" w:cs="Arial" w:eastAsia="Arial" w:hAnsi="Arial"/>
        <w:i/>
        <w:iCs/>
        <w:color w:val="5D6D7E"/>
        <w:sz w:val="16"/>
        <w:szCs w:val="16"/>
      </w:rPr>
      <w:t xml:space="preserve">This analysis is a technical starting point. Legal review by a qualified data protection professional is recommended.</w:t>
    </w:r>
    <w:r>
      <w:rPr>
        <w:rFonts w:ascii="Arial" w:cs="Arial" w:eastAsia="Arial" w:hAnsi="Arial"/>
        <w:color w:val="5D6D7E"/>
        <w:sz w:val="16"/>
        <w:szCs w:val="16"/>
      </w:rPr>
      <w:t xml:space="preserve">	Page </w:t>
    </w:r>
    <w:r>
      <w:rPr>
        <w:rFonts w:ascii="Arial" w:cs="Arial" w:eastAsia="Arial" w:hAnsi="Arial"/>
        <w:color w:val="5D6D7E"/>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A5276" w:sz="6" w:space="1"/>
      </w:pBdr>
      <w:tabs>
        <w:tab w:val="right" w:pos="9360"/>
      </w:tabs>
    </w:pPr>
    <w:r>
      <w:rPr>
        <w:rFonts w:ascii="Arial" w:cs="Arial" w:eastAsia="Arial" w:hAnsi="Arial"/>
        <w:b/>
        <w:bCs/>
        <w:color w:val="1A5276"/>
        <w:sz w:val="18"/>
        <w:szCs w:val="18"/>
      </w:rPr>
      <w:t xml:space="preserve">GDPR Gap Analysis — Acme Corp</w:t>
    </w:r>
    <w:r>
      <w:rPr>
        <w:rFonts w:ascii="Arial" w:cs="Arial" w:eastAsia="Arial" w:hAnsi="Arial"/>
        <w:color w:val="5D6D7E"/>
        <w:sz w:val="18"/>
        <w:szCs w:val="18"/>
      </w:rPr>
      <w:t xml:space="preserve">	Confidential  |  25 May 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8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20"/>
      <w:outlineLvl w:val="0"/>
    </w:pPr>
    <w:rPr>
      <w:rFonts w:ascii="Arial" w:cs="Arial" w:eastAsia="Arial" w:hAnsi="Arial"/>
      <w:b/>
      <w:bCs/>
      <w:color w:val="1A5276"/>
      <w:sz w:val="36"/>
      <w:szCs w:val="36"/>
    </w:rPr>
  </w:style>
  <w:style w:type="paragraph" w:styleId="Heading2">
    <w:name w:val="Heading 2"/>
    <w:basedOn w:val="Normal"/>
    <w:next w:val="Normal"/>
    <w:qFormat/>
    <w:pPr>
      <w:spacing w:after="120" w:before="280"/>
      <w:outlineLvl w:val="1"/>
    </w:pPr>
    <w:rPr>
      <w:rFonts w:ascii="Arial" w:cs="Arial" w:eastAsia="Arial" w:hAnsi="Arial"/>
      <w:b/>
      <w:bCs/>
      <w:color w:val="1A3A5C"/>
      <w:sz w:val="28"/>
      <w:szCs w:val="28"/>
    </w:rPr>
  </w:style>
  <w:style w:type="paragraph" w:styleId="Heading3">
    <w:name w:val="Heading 3"/>
    <w:basedOn w:val="Normal"/>
    <w:next w:val="Normal"/>
    <w:qFormat/>
    <w:pPr>
      <w:spacing w:after="80" w:before="200"/>
      <w:outlineLvl w:val="2"/>
    </w:pPr>
    <w:rPr>
      <w:rFonts w:ascii="Arial" w:cs="Arial" w:eastAsia="Arial" w:hAnsi="Arial"/>
      <w:b/>
      <w:bCs/>
      <w:color w:val="1A5276"/>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i5bo2jotlr7mm60cyj0eu" Type="http://schemas.openxmlformats.org/officeDocument/2006/relationships/hyperlink" Target="https://sprinto.com?utm_source=Claude&amp;utm_medium=skill&amp;utm_campaign=gdpr" TargetMode="External"/><Relationship Id="rIdjowz5v1h0anu2cbd_31rw" Type="http://schemas.openxmlformats.org/officeDocument/2006/relationships/hyperlink" Target="https://sprinto.com?utm_source=Claude&amp;utm_medium=skill&amp;utm_campaign=gdpr" TargetMode="Externa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2026-05-25T16:53:38.168Z</dcterms:created>
  <dcterms:modified xsi:type="dcterms:W3CDTF">2026-05-25T16:53:38.183Z</dcterms:modified>
</cp:coreProperties>
</file>

<file path=docProps/custom.xml><?xml version="1.0" encoding="utf-8"?>
<Properties xmlns="http://schemas.openxmlformats.org/officeDocument/2006/custom-properties" xmlns:vt="http://schemas.openxmlformats.org/officeDocument/2006/docPropsVTypes"/>
</file>